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学生宿舍卫生及内务整理整改检查月度情况通报（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十二月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份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各系：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月，学工处组织各系学工办对全校宿舍内务卫生大扫除进行了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第一</w:t>
      </w:r>
      <w:r>
        <w:rPr>
          <w:rFonts w:hint="eastAsia" w:ascii="仿宋" w:hAnsi="仿宋" w:eastAsia="仿宋"/>
          <w:sz w:val="28"/>
          <w:szCs w:val="28"/>
          <w:u w:val="single"/>
        </w:rPr>
        <w:t>次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检查，现将检查情况通报如下：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学前教育系：</w:t>
      </w:r>
    </w:p>
    <w:tbl>
      <w:tblPr>
        <w:tblStyle w:val="5"/>
        <w:tblW w:w="13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50"/>
        <w:gridCol w:w="905"/>
        <w:gridCol w:w="871"/>
        <w:gridCol w:w="587"/>
        <w:gridCol w:w="1230"/>
        <w:gridCol w:w="1210"/>
        <w:gridCol w:w="1273"/>
        <w:gridCol w:w="1215"/>
        <w:gridCol w:w="1215"/>
        <w:gridCol w:w="1110"/>
        <w:gridCol w:w="1079"/>
        <w:gridCol w:w="1160"/>
      </w:tblGrid>
      <w:tr>
        <w:trPr>
          <w:trHeight w:val="360" w:hRule="atLeast"/>
          <w:tblHeader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合格（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422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420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421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210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300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锁门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317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200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210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211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100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118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栋门厅二楼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13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59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熊华英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罗健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彭敏丽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周璇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tabs>
                <w:tab w:val="left" w:pos="402"/>
              </w:tabs>
              <w:spacing w:line="240" w:lineRule="exact"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01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1610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周知胜　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tabs>
                <w:tab w:val="left" w:pos="313"/>
              </w:tabs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龙爱民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1.33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张窈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余依婷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1.67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梁娟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1.6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李科　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33"/>
              </w:tabs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ab/>
            </w:r>
          </w:p>
          <w:p>
            <w:pPr>
              <w:widowControl/>
              <w:tabs>
                <w:tab w:val="left" w:pos="433"/>
              </w:tabs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6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李若曦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芬苑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;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李艳旭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谢君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梁湘婷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1709 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石庆丽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石庆丽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79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李栋宇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舒旭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李晴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5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李湘华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2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曾艳红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2.15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(2.08)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优秀（</w:t>
            </w:r>
            <w:r>
              <w:rPr>
                <w:rFonts w:ascii="宋体" w:cs="宋体"/>
                <w:kern w:val="0"/>
                <w:szCs w:val="21"/>
              </w:rPr>
              <w:t>2.3</w:t>
            </w:r>
            <w:r>
              <w:rPr>
                <w:rFonts w:hint="eastAsia" w:ascii="宋体" w:cs="宋体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(2.22)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2.63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3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25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4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潘纯雪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(1.7)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4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4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4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3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　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3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3243" w:type="dxa"/>
            <w:gridSpan w:val="13"/>
            <w:vAlign w:val="center"/>
          </w:tcPr>
          <w:p>
            <w:pPr>
              <w:widowControl/>
              <w:spacing w:line="240" w:lineRule="exact"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初等教育系：</w:t>
      </w:r>
    </w:p>
    <w:tbl>
      <w:tblPr>
        <w:tblStyle w:val="5"/>
        <w:tblW w:w="13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08"/>
        <w:gridCol w:w="943"/>
        <w:gridCol w:w="928"/>
        <w:gridCol w:w="659"/>
        <w:gridCol w:w="1241"/>
        <w:gridCol w:w="1302"/>
        <w:gridCol w:w="1302"/>
        <w:gridCol w:w="1111"/>
        <w:gridCol w:w="1215"/>
        <w:gridCol w:w="1080"/>
        <w:gridCol w:w="1162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52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Gungsuh" w:hAnsi="Gungsuh" w:cs="Gungsuh"/>
                <w:b/>
                <w:bCs/>
                <w:color w:val="000000"/>
                <w:kern w:val="0"/>
                <w:szCs w:val="21"/>
              </w:rPr>
              <w:t>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第二周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检查情况第三周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检查情况第四周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周岱曦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1.67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宿管楼上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ind w:left="-3360" w:leftChars="-1694" w:right="2963" w:rightChars="1411" w:hanging="197" w:hangingChars="9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603603                          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kern w:val="0"/>
                <w:szCs w:val="21"/>
              </w:rPr>
              <w:t>1605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芬芳苑一栋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何丽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1612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张娟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张娟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卿捷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陈沫汐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ab/>
            </w:r>
          </w:p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03"/>
                <w:tab w:val="center" w:pos="603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center" w:pos="603"/>
              </w:tabs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(2.22)</w:t>
            </w:r>
          </w:p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03"/>
                <w:tab w:val="center" w:pos="603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1.91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63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刘占方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1.67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王竞萱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李欣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邓晨曦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雷云轩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李用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黄晓琴　</w:t>
            </w:r>
          </w:p>
        </w:tc>
        <w:tc>
          <w:tcPr>
            <w:tcW w:w="92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2" w:type="dxa"/>
            <w:gridSpan w:val="13"/>
            <w:shd w:val="clear" w:color="auto" w:fill="FFFFFF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2.1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tabs>
                <w:tab w:val="left" w:pos="226"/>
              </w:tabs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马雯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李洁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杨跃峰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1.83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杨馥嘉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马礼锋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(1.8)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1814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仇秀新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仇秀新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邓彦妮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1.43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邓辉艳　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总务处左边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艺术系：</w:t>
      </w:r>
    </w:p>
    <w:tbl>
      <w:tblPr>
        <w:tblStyle w:val="5"/>
        <w:tblW w:w="13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85"/>
        <w:gridCol w:w="723"/>
        <w:gridCol w:w="905"/>
        <w:gridCol w:w="632"/>
        <w:gridCol w:w="1130"/>
        <w:gridCol w:w="1297"/>
        <w:gridCol w:w="1250"/>
        <w:gridCol w:w="1248"/>
        <w:gridCol w:w="1245"/>
        <w:gridCol w:w="1245"/>
        <w:gridCol w:w="1245"/>
        <w:gridCol w:w="1245"/>
      </w:tblGrid>
      <w:tr>
        <w:trPr>
          <w:trHeight w:val="36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Gungsuh" w:hAnsi="Gungsuh" w:cs="Gungsuh"/>
                <w:b/>
                <w:bCs/>
                <w:color w:val="000000"/>
                <w:kern w:val="0"/>
                <w:szCs w:val="21"/>
              </w:rPr>
              <w:t>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检查情况第二周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检查情况第三周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检查情况第四周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周佳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2.62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69" w:hRule="atLeast"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张宗平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7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廖杨波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tabs>
                <w:tab w:val="left" w:pos="468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4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4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张诗梦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303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袁艳娟　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1.57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ascii="宋体" w:hAnsi="宋体" w:cs="宋体"/>
                <w:color w:val="36363D"/>
                <w:kern w:val="0"/>
                <w:szCs w:val="21"/>
              </w:rPr>
              <w:t>604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6363D"/>
                <w:kern w:val="0"/>
                <w:szCs w:val="21"/>
              </w:rPr>
            </w:pPr>
            <w:r>
              <w:rPr>
                <w:rFonts w:hint="eastAsia" w:ascii="宋体" w:cs="宋体"/>
                <w:color w:val="36363D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36363D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21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李丹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黄永健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0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唐旭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1.62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曾环健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8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周建华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0.57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邓倩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0.4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刘蔚　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33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魏张燕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2.57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李思荷　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曹晨璐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(2.21)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525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教育技术系：</w:t>
      </w:r>
    </w:p>
    <w:tbl>
      <w:tblPr>
        <w:tblStyle w:val="5"/>
        <w:tblW w:w="13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88"/>
        <w:gridCol w:w="859"/>
        <w:gridCol w:w="863"/>
        <w:gridCol w:w="778"/>
        <w:gridCol w:w="1283"/>
        <w:gridCol w:w="1023"/>
        <w:gridCol w:w="1217"/>
        <w:gridCol w:w="1252"/>
        <w:gridCol w:w="1245"/>
        <w:gridCol w:w="1245"/>
        <w:gridCol w:w="1245"/>
        <w:gridCol w:w="1246"/>
      </w:tblGrid>
      <w:tr>
        <w:trPr>
          <w:trHeight w:val="360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</w:t>
            </w:r>
            <w:r>
              <w:rPr>
                <w:rFonts w:hint="eastAsia" w:ascii="Gungsuh" w:hAnsi="Gungsuh" w:cs="Gungsuh"/>
                <w:b/>
                <w:bCs/>
                <w:color w:val="000000"/>
                <w:kern w:val="0"/>
                <w:szCs w:val="21"/>
              </w:rPr>
              <w:t>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检查情况第二周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检查情况第三周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检查情况第四周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情况综合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kern w:val="0"/>
                <w:szCs w:val="21"/>
              </w:rPr>
              <w:t>1601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王当元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王当元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270"/>
              </w:tabs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ab/>
            </w: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tabs>
                <w:tab w:val="left" w:pos="27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唐丽铮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1602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李宏祥　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1352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邓孟华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实习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2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419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欧建雄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欧建雄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华枝苑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57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彭国香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kern w:val="0"/>
                <w:szCs w:val="21"/>
              </w:rPr>
              <w:t>(1.8)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1702 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李典尧　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1.55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1352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1701 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李柏贵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李柏贵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  <w:r>
              <w:rPr>
                <w:rFonts w:ascii="宋体" w:hAnsi="宋体" w:cs="宋体"/>
                <w:kern w:val="0"/>
                <w:szCs w:val="21"/>
              </w:rPr>
              <w:t>(2.57)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优秀（</w:t>
            </w:r>
            <w:r>
              <w:rPr>
                <w:rFonts w:ascii="宋体" w:hAnsi="宋体" w:cs="宋体"/>
                <w:kern w:val="0"/>
                <w:szCs w:val="21"/>
              </w:rPr>
              <w:t>2.57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13522" w:type="dxa"/>
            <w:gridSpan w:val="13"/>
            <w:vAlign w:val="center"/>
          </w:tcPr>
          <w:p>
            <w:pPr>
              <w:widowControl/>
              <w:ind w:firstLine="632" w:firstLineChars="300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: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优秀寝室：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基本合格寝室：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不合格寝室：</w:t>
            </w: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1801 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唐丽铮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  <w:r>
              <w:rPr>
                <w:rFonts w:ascii="宋体" w:hAnsi="宋体" w:cs="宋体"/>
                <w:kern w:val="0"/>
                <w:szCs w:val="21"/>
              </w:rPr>
              <w:t>(2.42)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1801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唐丽铮　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合格（</w:t>
            </w:r>
            <w:r>
              <w:rPr>
                <w:rFonts w:ascii="宋体" w:hAnsi="宋体" w:cs="宋体"/>
                <w:kern w:val="0"/>
                <w:szCs w:val="21"/>
              </w:rPr>
              <w:t>2.25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tabs>
                <w:tab w:val="left" w:pos="313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609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610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  <w:r>
              <w:rPr>
                <w:rFonts w:ascii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437" w:hRule="atLeast"/>
          <w:jc w:val="center"/>
        </w:trPr>
        <w:tc>
          <w:tcPr>
            <w:tcW w:w="13522" w:type="dxa"/>
            <w:gridSpan w:val="13"/>
            <w:vAlign w:val="center"/>
          </w:tcPr>
          <w:tbl>
            <w:tblPr>
              <w:tblStyle w:val="5"/>
              <w:tblW w:w="1352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2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13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632" w:firstLineChars="300"/>
                    <w:rPr>
                      <w:rFonts w:ascii="宋体" w:cs="宋体"/>
                      <w:b/>
                      <w:bCs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小计三年制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18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级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 xml:space="preserve">: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优秀寝室：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合格寝室：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基本合格寝室：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Cs w:val="21"/>
                    </w:rPr>
                    <w:t>不合格寝室：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ind w:firstLine="1080" w:firstLineChars="300"/>
        <w:rPr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备注;为合理确定寝室内务卫生管理等次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从</w:t>
      </w:r>
      <w:r>
        <w:rPr>
          <w:rFonts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月开始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学工处对学生寝室内务卫生检查情况实行量化考评定级，优秀寝室记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分、合格寝室记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分、基本合格寝室记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分、不合格寝室记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分。班级寝室合计得分除以寝室数得班级寝室平均分。根据班级寝室平均分情况综合评定等次，平均分在</w:t>
      </w:r>
      <w:r>
        <w:rPr>
          <w:rFonts w:ascii="仿宋" w:hAnsi="仿宋" w:eastAsia="仿宋"/>
          <w:sz w:val="28"/>
          <w:szCs w:val="28"/>
        </w:rPr>
        <w:t>2.3</w:t>
      </w:r>
      <w:r>
        <w:rPr>
          <w:rFonts w:hint="eastAsia" w:ascii="仿宋" w:hAnsi="仿宋"/>
          <w:sz w:val="28"/>
          <w:szCs w:val="28"/>
        </w:rPr>
        <w:t>­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分记优秀、</w:t>
      </w:r>
      <w:r>
        <w:rPr>
          <w:rFonts w:ascii="仿宋" w:hAnsi="仿宋" w:eastAsia="仿宋"/>
          <w:sz w:val="28"/>
          <w:szCs w:val="28"/>
        </w:rPr>
        <w:t>1.2</w:t>
      </w:r>
      <w:r>
        <w:rPr>
          <w:rFonts w:hint="eastAsia" w:ascii="仿宋" w:hAnsi="仿宋"/>
          <w:sz w:val="28"/>
          <w:szCs w:val="28"/>
        </w:rPr>
        <w:t>­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.29分记合格、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/>
          <w:sz w:val="28"/>
          <w:szCs w:val="28"/>
        </w:rPr>
        <w:t>­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19分记基本合格、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/>
          <w:sz w:val="28"/>
          <w:szCs w:val="28"/>
        </w:rPr>
        <w:t>­</w:t>
      </w:r>
      <w:r>
        <w:rPr>
          <w:rFonts w:hint="eastAsia" w:ascii="仿宋" w:hAnsi="仿宋" w:eastAsia="仿宋"/>
          <w:sz w:val="28"/>
          <w:szCs w:val="28"/>
        </w:rPr>
        <w:t>0.99分记不合格。每次的检查情况，学工处会将电子文档发到学工群里，每月的汇总表会以纸质文档的形式发到各系学工办。</w:t>
      </w:r>
    </w:p>
    <w:p>
      <w:pPr>
        <w:spacing w:line="5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学生工作处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                             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footerReference r:id="rId4" w:type="even"/>
      <w:pgSz w:w="16838" w:h="11906" w:orient="landscape"/>
      <w:pgMar w:top="1588" w:right="181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ungsuh"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45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46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脚 Char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3948</Words>
  <Characters>22508</Characters>
  <Lines>187</Lines>
  <Paragraphs>52</Paragraphs>
  <TotalTime>0</TotalTime>
  <ScaleCrop>false</ScaleCrop>
  <LinksUpToDate>false</LinksUpToDate>
  <CharactersWithSpaces>26404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2018-12-05T13:50:00Z</dcterms:created>
  <dc:creator>Administrator</dc:creator>
  <cp:lastModifiedBy>胡思业的iPad</cp:lastModifiedBy>
  <cp:lastPrinted>2018-11-05T16:36:00Z</cp:lastPrinted>
  <dcterms:modified xsi:type="dcterms:W3CDTF">2020-06-24T00:20:50Z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