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附件6</w:t>
      </w:r>
    </w:p>
    <w:p>
      <w:pPr>
        <w:spacing w:line="360" w:lineRule="exact"/>
        <w:rPr>
          <w:rFonts w:eastAsia="仿宋_GB2312"/>
          <w:kern w:val="0"/>
          <w:sz w:val="32"/>
          <w:szCs w:val="32"/>
        </w:rPr>
      </w:pP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0"/>
          <w:szCs w:val="40"/>
        </w:rPr>
        <w:t>市级预算部门绩效自评工作考核评分表</w:t>
      </w:r>
    </w:p>
    <w:tbl>
      <w:tblPr>
        <w:tblStyle w:val="2"/>
        <w:tblW w:w="88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0"/>
        <w:gridCol w:w="5835"/>
        <w:gridCol w:w="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一级指标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二级指标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评分标准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布置工作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10分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自评通知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（8分）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1、印发绩效自评通知的得2分，否则不得分。</w:t>
            </w:r>
          </w:p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2、按照本规程规定，绩效自评通知包括自评范围、自评主要依据、自评主要内容、自评程序和步骤、有关要求等内容，并附有本规程要求的附件的，得6分；否则缺1项扣1分，最多扣6分。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工作小组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（2分）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成立绩效自评工作小组的得2分，否则不得分。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（20分）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市级预算部门本级和所属单位都要开展绩效自查，转移支付项目单位都要开展绩效自查，市、县级主管部门都要汇总本区域转移支付情况；以上各项每发现一个单位没有做相应工作的，扣1分，最多扣20分。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（10分）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按时向市财政局报送报告的得10分；每推迟一天报送报告的扣1分，最多扣10分。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60分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（15分）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1、绩效自评报告正文部分内容齐全的，得8分；否则每少一个部分扣2分，最多扣8分。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2、绩效自评报告附件部分内容齐全的，得7分；否则每少一个部分扣2分，最多扣7分。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（15分）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1、部门整体支出和项目支出绩效指标反映产出、效益、服务对象满意度方面的指标和预算执行率的权重符合本规程的，得2分，否则按比例扣除相应的分数。</w:t>
            </w:r>
          </w:p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2、部门整体支出和项目支出绩效指标全部细化到三级指标的，得3分；部分细化的，酌情扣分；没有细化的，不得分。</w:t>
            </w:r>
          </w:p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3、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（15分）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绩效评价发现问题详实全面的得15分，只提出资金不足问题的不得分；其他情况酌情扣分。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（15分）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针对评价发现问题提出包含有关政策在内的可行性建议的得15分，只提出加大资金投入建议的不得分；其他情况酌情扣分。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100分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0053E"/>
    <w:rsid w:val="0390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2021-06-21T08:08:00Z</dcterms:created>
  <dc:creator>如烟</dc:creator>
  <cp:lastModifiedBy>如烟</cp:lastModifiedBy>
  <dcterms:modified xsi:type="dcterms:W3CDTF">2021-06-21T08:09:15Z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7059472EEDF447FB9384FB061702BA7F</vt:lpwstr>
  </property>
</Properties>
</file>