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A8CE5">
      <w:pPr>
        <w:keepNext w:val="0"/>
        <w:keepLines w:val="0"/>
        <w:pageBreakBefore w:val="0"/>
        <w:widowControl w:val="0"/>
        <w:kinsoku/>
        <w:wordWrap/>
        <w:overflowPunct/>
        <w:topLinePunct w:val="0"/>
        <w:autoSpaceDE/>
        <w:autoSpaceDN/>
        <w:bidi w:val="0"/>
        <w:adjustRightInd/>
        <w:snapToGrid/>
        <w:spacing w:before="480" w:after="480" w:line="288" w:lineRule="auto"/>
        <w:ind w:left="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color w:val="auto"/>
          <w:sz w:val="44"/>
          <w:szCs w:val="44"/>
        </w:rPr>
        <w:t>教材供应商遴选综合评分法实施方案</w:t>
      </w:r>
    </w:p>
    <w:p w14:paraId="5E17B6C0">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0"/>
        <w:rPr>
          <w:rFonts w:hint="eastAsia" w:ascii="宋体" w:hAnsi="宋体" w:eastAsia="宋体" w:cs="宋体"/>
          <w:color w:val="auto"/>
          <w:sz w:val="28"/>
          <w:szCs w:val="28"/>
        </w:rPr>
      </w:pPr>
      <w:bookmarkStart w:id="0" w:name="heading_0"/>
      <w:r>
        <w:rPr>
          <w:rFonts w:hint="eastAsia" w:ascii="宋体" w:hAnsi="宋体" w:eastAsia="宋体" w:cs="宋体"/>
          <w:b/>
          <w:color w:val="auto"/>
          <w:sz w:val="28"/>
          <w:szCs w:val="28"/>
        </w:rPr>
        <w:t>一、总则</w:t>
      </w:r>
      <w:bookmarkEnd w:id="0"/>
    </w:p>
    <w:p w14:paraId="72FA0D14">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1"/>
        <w:rPr>
          <w:rFonts w:hint="eastAsia" w:ascii="宋体" w:hAnsi="宋体" w:eastAsia="宋体" w:cs="宋体"/>
          <w:color w:val="auto"/>
          <w:sz w:val="28"/>
          <w:szCs w:val="28"/>
        </w:rPr>
      </w:pPr>
      <w:bookmarkStart w:id="1" w:name="heading_1"/>
      <w:r>
        <w:rPr>
          <w:rFonts w:hint="eastAsia" w:ascii="宋体" w:hAnsi="宋体" w:eastAsia="宋体" w:cs="宋体"/>
          <w:b/>
          <w:color w:val="auto"/>
          <w:sz w:val="28"/>
          <w:szCs w:val="28"/>
        </w:rPr>
        <w:t>1.1 编制依据</w:t>
      </w:r>
      <w:bookmarkEnd w:id="1"/>
    </w:p>
    <w:p w14:paraId="2F3C66FB">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规范学校教材供应商遴选工作，保障教材采购质量、供货时效与服务水平，严格落实政府采购及职业教育教材管理相关规定，依据以下法律法规及行业文件制定本方案：《中华人民共和国政府采购法》《中华人民共和国招标投标法》《政府采购货物和服务招标投标管理办法》《职业院校教材管理办法》（教材〔2019〕3号）等相关规章制度。</w:t>
      </w:r>
    </w:p>
    <w:p w14:paraId="07305C44">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1"/>
        <w:rPr>
          <w:rFonts w:hint="eastAsia" w:ascii="宋体" w:hAnsi="宋体" w:eastAsia="宋体" w:cs="宋体"/>
          <w:color w:val="auto"/>
          <w:sz w:val="28"/>
          <w:szCs w:val="28"/>
        </w:rPr>
      </w:pPr>
      <w:bookmarkStart w:id="2" w:name="heading_2"/>
      <w:r>
        <w:rPr>
          <w:rFonts w:hint="eastAsia" w:ascii="宋体" w:hAnsi="宋体" w:eastAsia="宋体" w:cs="宋体"/>
          <w:b/>
          <w:color w:val="auto"/>
          <w:sz w:val="28"/>
          <w:szCs w:val="28"/>
        </w:rPr>
        <w:t>1.2 遴选原则</w:t>
      </w:r>
      <w:bookmarkEnd w:id="2"/>
    </w:p>
    <w:p w14:paraId="6C810117">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严格遵循</w:t>
      </w:r>
      <w:r>
        <w:rPr>
          <w:rFonts w:hint="eastAsia" w:ascii="宋体" w:hAnsi="宋体" w:eastAsia="宋体" w:cs="宋体"/>
          <w:b/>
          <w:color w:val="auto"/>
          <w:sz w:val="28"/>
          <w:szCs w:val="28"/>
        </w:rPr>
        <w:t>公开、公平、公正、诚实信用</w:t>
      </w:r>
      <w:r>
        <w:rPr>
          <w:rFonts w:hint="eastAsia" w:ascii="宋体" w:hAnsi="宋体" w:eastAsia="宋体" w:cs="宋体"/>
          <w:color w:val="auto"/>
          <w:sz w:val="28"/>
          <w:szCs w:val="28"/>
        </w:rPr>
        <w:t>的基本原则，坚持价格合理、质量优良、服务优质的遴选标准。紧扣职业教育办学特色，坚守教材意识形态阵地，确保选用教材政治方向正确、内容科学规范、贴合教学需求，兼顾经济性与实用性，择优选择综合实力强、履约能力佳、信誉良好的教材供应商。</w:t>
      </w:r>
    </w:p>
    <w:p w14:paraId="10273B0D">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1"/>
        <w:rPr>
          <w:rFonts w:hint="eastAsia" w:ascii="宋体" w:hAnsi="宋体" w:eastAsia="宋体" w:cs="宋体"/>
          <w:color w:val="auto"/>
          <w:sz w:val="28"/>
          <w:szCs w:val="28"/>
        </w:rPr>
      </w:pPr>
      <w:bookmarkStart w:id="3" w:name="heading_3"/>
      <w:r>
        <w:rPr>
          <w:rFonts w:hint="eastAsia" w:ascii="宋体" w:hAnsi="宋体" w:eastAsia="宋体" w:cs="宋体"/>
          <w:b/>
          <w:color w:val="auto"/>
          <w:sz w:val="28"/>
          <w:szCs w:val="28"/>
        </w:rPr>
        <w:t>1.3 适用范围</w:t>
      </w:r>
      <w:bookmarkEnd w:id="3"/>
    </w:p>
    <w:p w14:paraId="4CAA92C9">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本方案适用于学校各类全日制在校生公共基础课、专业基础课、专业课等教学所用教材的供应商公开遴选、评审打分、入围确定及履约考核等全部工作。</w:t>
      </w:r>
    </w:p>
    <w:p w14:paraId="143B19CF">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0"/>
        <w:rPr>
          <w:rFonts w:hint="eastAsia" w:ascii="宋体" w:hAnsi="宋体" w:eastAsia="宋体" w:cs="宋体"/>
          <w:color w:val="auto"/>
          <w:sz w:val="28"/>
          <w:szCs w:val="28"/>
        </w:rPr>
      </w:pPr>
      <w:bookmarkStart w:id="4" w:name="heading_4"/>
      <w:r>
        <w:rPr>
          <w:rFonts w:hint="eastAsia" w:ascii="宋体" w:hAnsi="宋体" w:eastAsia="宋体" w:cs="宋体"/>
          <w:b/>
          <w:color w:val="auto"/>
          <w:sz w:val="28"/>
          <w:szCs w:val="28"/>
        </w:rPr>
        <w:t>二、评分总体规则</w:t>
      </w:r>
      <w:bookmarkEnd w:id="4"/>
    </w:p>
    <w:p w14:paraId="72AA5C50">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本次供应商遴选采用</w:t>
      </w:r>
      <w:r>
        <w:rPr>
          <w:rFonts w:hint="eastAsia" w:ascii="宋体" w:hAnsi="宋体" w:eastAsia="宋体" w:cs="宋体"/>
          <w:b/>
          <w:color w:val="auto"/>
          <w:sz w:val="28"/>
          <w:szCs w:val="28"/>
        </w:rPr>
        <w:t>综合评分法</w:t>
      </w:r>
      <w:r>
        <w:rPr>
          <w:rFonts w:hint="eastAsia" w:ascii="宋体" w:hAnsi="宋体" w:eastAsia="宋体" w:cs="宋体"/>
          <w:color w:val="auto"/>
          <w:sz w:val="28"/>
          <w:szCs w:val="28"/>
        </w:rPr>
        <w:t>，总分100分，由价格分、技术分、商务分三部分构成，各项分值权重固定，分项得分相加为供应商最终综合得分。评审委员会按照得分从高到低排序，择优确定入围供应商。</w:t>
      </w:r>
    </w:p>
    <w:p w14:paraId="52F7E50B">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评分权重构成：价格分40分、技术分35分、商务分25分。</w:t>
      </w:r>
    </w:p>
    <w:p w14:paraId="0D37B894">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计分规则：技术分、商务分为多名评审专家独立打分后取算术平均值（保留两位小数），价格分按统一公式精准计算，所有分项得分汇总后为最终得分（保留两位小数），得分相同的，价格分高者优先。</w:t>
      </w:r>
    </w:p>
    <w:p w14:paraId="3AE8BD58">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0"/>
        <w:rPr>
          <w:rFonts w:hint="eastAsia" w:ascii="宋体" w:hAnsi="宋体" w:eastAsia="宋体" w:cs="宋体"/>
          <w:color w:val="auto"/>
          <w:sz w:val="28"/>
          <w:szCs w:val="28"/>
        </w:rPr>
      </w:pPr>
      <w:bookmarkStart w:id="5" w:name="heading_5"/>
      <w:r>
        <w:rPr>
          <w:rFonts w:hint="eastAsia" w:ascii="宋体" w:hAnsi="宋体" w:eastAsia="宋体" w:cs="宋体"/>
          <w:b/>
          <w:color w:val="auto"/>
          <w:sz w:val="28"/>
          <w:szCs w:val="28"/>
        </w:rPr>
        <w:t>三、详细评分细则</w:t>
      </w:r>
      <w:bookmarkEnd w:id="5"/>
    </w:p>
    <w:p w14:paraId="79711663">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1"/>
        <w:rPr>
          <w:rFonts w:hint="eastAsia" w:ascii="宋体" w:hAnsi="宋体" w:eastAsia="宋体" w:cs="宋体"/>
          <w:color w:val="auto"/>
          <w:sz w:val="28"/>
          <w:szCs w:val="28"/>
        </w:rPr>
      </w:pPr>
      <w:bookmarkStart w:id="6" w:name="heading_6"/>
      <w:r>
        <w:rPr>
          <w:rFonts w:hint="eastAsia" w:ascii="宋体" w:hAnsi="宋体" w:eastAsia="宋体" w:cs="宋体"/>
          <w:b/>
          <w:color w:val="auto"/>
          <w:sz w:val="28"/>
          <w:szCs w:val="28"/>
        </w:rPr>
        <w:t>（一）价格分（40分）</w:t>
      </w:r>
      <w:bookmarkEnd w:id="6"/>
    </w:p>
    <w:p w14:paraId="1D8A1904">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color w:val="auto"/>
          <w:sz w:val="28"/>
          <w:szCs w:val="28"/>
        </w:rPr>
      </w:pPr>
      <w:bookmarkStart w:id="7" w:name="heading_7"/>
      <w:r>
        <w:rPr>
          <w:rFonts w:hint="eastAsia" w:ascii="宋体" w:hAnsi="宋体" w:eastAsia="宋体" w:cs="宋体"/>
          <w:b/>
          <w:color w:val="auto"/>
          <w:sz w:val="28"/>
          <w:szCs w:val="28"/>
        </w:rPr>
        <w:t>1. 评分方式</w:t>
      </w:r>
      <w:bookmarkEnd w:id="7"/>
    </w:p>
    <w:p w14:paraId="44833A60">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采用</w:t>
      </w:r>
      <w:r>
        <w:rPr>
          <w:rFonts w:hint="eastAsia" w:ascii="宋体" w:hAnsi="宋体" w:eastAsia="宋体" w:cs="宋体"/>
          <w:b/>
          <w:color w:val="auto"/>
          <w:sz w:val="28"/>
          <w:szCs w:val="28"/>
        </w:rPr>
        <w:t>低价优先法</w:t>
      </w:r>
      <w:r>
        <w:rPr>
          <w:rFonts w:hint="eastAsia" w:ascii="宋体" w:hAnsi="宋体" w:eastAsia="宋体" w:cs="宋体"/>
          <w:color w:val="auto"/>
          <w:sz w:val="28"/>
          <w:szCs w:val="28"/>
        </w:rPr>
        <w:t>计算，满足遴选文件全部实质性要求且有效投标报价最低的供应商报价为评标基准价，其价格</w:t>
      </w:r>
      <w:r>
        <w:rPr>
          <w:rFonts w:hint="eastAsia" w:ascii="宋体" w:hAnsi="宋体" w:eastAsia="宋体" w:cs="宋体"/>
          <w:color w:val="auto"/>
          <w:sz w:val="28"/>
          <w:szCs w:val="28"/>
          <w:lang w:val="en-US" w:eastAsia="zh-CN"/>
        </w:rPr>
        <w:t>基础分为</w:t>
      </w:r>
      <w:r>
        <w:rPr>
          <w:rFonts w:hint="eastAsia" w:ascii="宋体" w:hAnsi="宋体" w:eastAsia="宋体" w:cs="宋体"/>
          <w:color w:val="auto"/>
          <w:sz w:val="28"/>
          <w:szCs w:val="28"/>
        </w:rPr>
        <w:t>40分。其他供应商价格分统一按照以下公式计算：价格分=（评标基准价÷投标报价）×40分，计算结果保留两位小数，得分不足0分按0分计。</w:t>
      </w:r>
    </w:p>
    <w:p w14:paraId="184C2E91">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color w:val="auto"/>
          <w:sz w:val="28"/>
          <w:szCs w:val="28"/>
        </w:rPr>
      </w:pPr>
      <w:bookmarkStart w:id="8" w:name="heading_8"/>
      <w:r>
        <w:rPr>
          <w:rFonts w:hint="eastAsia" w:ascii="宋体" w:hAnsi="宋体" w:eastAsia="宋体" w:cs="宋体"/>
          <w:b/>
          <w:color w:val="auto"/>
          <w:sz w:val="28"/>
          <w:szCs w:val="28"/>
        </w:rPr>
        <w:t>2. 报价硬性要求</w:t>
      </w:r>
      <w:bookmarkEnd w:id="8"/>
    </w:p>
    <w:p w14:paraId="1050CFA9">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（1）报价</w:t>
      </w:r>
      <w:r>
        <w:rPr>
          <w:rFonts w:hint="eastAsia" w:ascii="宋体" w:hAnsi="宋体" w:cs="宋体"/>
          <w:color w:val="auto"/>
          <w:sz w:val="28"/>
          <w:szCs w:val="28"/>
          <w:lang w:val="en-US" w:eastAsia="zh-CN"/>
        </w:rPr>
        <w:t>不得高于</w:t>
      </w:r>
      <w:r>
        <w:rPr>
          <w:rFonts w:hint="eastAsia" w:ascii="宋体" w:hAnsi="宋体" w:eastAsia="宋体" w:cs="宋体"/>
          <w:color w:val="auto"/>
          <w:sz w:val="28"/>
          <w:szCs w:val="28"/>
        </w:rPr>
        <w:t>全包总价</w:t>
      </w:r>
      <w:r>
        <w:rPr>
          <w:rFonts w:hint="eastAsia" w:ascii="宋体" w:hAnsi="宋体" w:cs="宋体"/>
          <w:color w:val="auto"/>
          <w:sz w:val="28"/>
          <w:szCs w:val="28"/>
          <w:lang w:val="en-US" w:eastAsia="zh-CN"/>
        </w:rPr>
        <w:t>金额的77%</w:t>
      </w:r>
      <w:r>
        <w:rPr>
          <w:rFonts w:hint="eastAsia" w:ascii="宋体" w:hAnsi="宋体" w:eastAsia="宋体" w:cs="宋体"/>
          <w:color w:val="auto"/>
          <w:sz w:val="28"/>
          <w:szCs w:val="28"/>
        </w:rPr>
        <w:t>，包含教材采购、正版货源、仓储分拣、包装运输、校内配送、上门发放、售后退换货、技术服务、税费等全部费用，学校无需额外支付其他费用。</w:t>
      </w:r>
    </w:p>
    <w:p w14:paraId="5E9F71BE">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（2）供应商统一按照教材官方码洋折扣率进行报价，报价格式规范、数据清晰，不得拆分报价、隐形报价。</w:t>
      </w:r>
    </w:p>
    <w:p w14:paraId="4C9D6E9F">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（3）投标报价不得高于市场同期指导价及行业合理区间，不得低于成本价恶意竞标，否则作无效响应处理。</w:t>
      </w:r>
    </w:p>
    <w:p w14:paraId="151BD76D">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p>
    <w:p w14:paraId="6119E055">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1"/>
        <w:rPr>
          <w:rFonts w:hint="eastAsia" w:ascii="宋体" w:hAnsi="宋体" w:eastAsia="宋体" w:cs="宋体"/>
          <w:color w:val="auto"/>
          <w:sz w:val="28"/>
          <w:szCs w:val="28"/>
        </w:rPr>
      </w:pPr>
      <w:bookmarkStart w:id="9" w:name="heading_9"/>
      <w:r>
        <w:rPr>
          <w:rFonts w:hint="eastAsia" w:ascii="宋体" w:hAnsi="宋体" w:eastAsia="宋体" w:cs="宋体"/>
          <w:b/>
          <w:color w:val="auto"/>
          <w:sz w:val="28"/>
          <w:szCs w:val="28"/>
        </w:rPr>
        <w:t>（二）技术分（35分）</w:t>
      </w:r>
      <w:bookmarkEnd w:id="9"/>
    </w:p>
    <w:p w14:paraId="5ED4BE55">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color w:val="auto"/>
          <w:sz w:val="28"/>
          <w:szCs w:val="28"/>
        </w:rPr>
      </w:pPr>
      <w:bookmarkStart w:id="10" w:name="heading_10"/>
      <w:r>
        <w:rPr>
          <w:rFonts w:hint="eastAsia" w:ascii="宋体" w:hAnsi="宋体" w:eastAsia="宋体" w:cs="宋体"/>
          <w:b/>
          <w:color w:val="auto"/>
          <w:sz w:val="28"/>
          <w:szCs w:val="28"/>
        </w:rPr>
        <w:t>1. 供货实施方案（15分）</w:t>
      </w:r>
      <w:bookmarkEnd w:id="10"/>
    </w:p>
    <w:p w14:paraId="59465DAF">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人员配置方案（3分）：配备专属项目负责人、对接专员、配送及售后人员，岗位职责清晰、分工明确、人员稳定，完全满足学校教材采购全流程需求的得3分；人员配置基本齐全、职责较清晰的得1-2分；人员配置不完善、无专属对接团队的不得分。</w:t>
      </w:r>
    </w:p>
    <w:p w14:paraId="483C65FE">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运输配送方案（4分）：配送、仓储分拣规范、运输方式安全，可保障分批次、分校区、分班级精准配送，时效可控的得4分；配送方案基本合理、流程完整的得2-3分；方案简单、缺乏可行性、无时效保障的得1分及以下。</w:t>
      </w:r>
    </w:p>
    <w:p w14:paraId="2BE09FA4">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教材发放方案（4分）：教材清点、分拣、核对、发放、签收全流程规范清晰，可配合学校完成分班、分批次发放，台账记录完整，操作性强的得4分；发放流程基本完整的得2-3分；流程混乱、无台账管理、可操作性差的不得分。</w:t>
      </w:r>
    </w:p>
    <w:p w14:paraId="7C903278">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应急处置方案（2分）：针对教材缺货、破损、漏发、延迟、版本调整等突发情况，制定完善应急预案，处置流程清晰、响应迅速、可落地执行的得2分；有应急预案但内容简略的得1分；无应急方案的不得分。</w:t>
      </w:r>
    </w:p>
    <w:p w14:paraId="354002A9">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（5）服务保障措施（2分）：针对教材质量、供货时效、售后对接、问题整改等制定具体、细化的保障措施，贴合学校教学实际需求的得2分；保障措施基本齐全的得1分；无专项保障措施的不得分。</w:t>
      </w:r>
    </w:p>
    <w:p w14:paraId="4C2B0F09">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color w:val="auto"/>
          <w:sz w:val="28"/>
          <w:szCs w:val="28"/>
        </w:rPr>
      </w:pPr>
      <w:bookmarkStart w:id="11" w:name="heading_11"/>
      <w:r>
        <w:rPr>
          <w:rFonts w:hint="eastAsia" w:ascii="宋体" w:hAnsi="宋体" w:eastAsia="宋体" w:cs="宋体"/>
          <w:b/>
          <w:color w:val="auto"/>
          <w:sz w:val="28"/>
          <w:szCs w:val="28"/>
        </w:rPr>
        <w:t>2. 教材质量保证（10分）</w:t>
      </w:r>
      <w:bookmarkEnd w:id="11"/>
    </w:p>
    <w:p w14:paraId="07617BEC">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（1）教材来源正规性（4分）：具备出版社官方授权供货证明、正规出版发行渠道，货源可追溯、资质齐全的得4分；有合作渠道但授权材料不完整的得2-3分；无法提供正规货源及授权证明的不得分。</w:t>
      </w:r>
    </w:p>
    <w:p w14:paraId="009B47B7">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（2）教材版本时效性（3分）：承诺全部提供对应专业、对应学期最新官方指定教材版本，可及时跟进教材改版更新的得3分；基本保障新版教材、更新响应滞后的得1-2分；无法保障版本时效性的不得分。</w:t>
      </w:r>
    </w:p>
    <w:p w14:paraId="6571629B">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（3）教材质量承诺（3分）：出具正式质量承诺书，明确正版保障、无盗版、无残次、无错印漏印，质量管控流程完善、追责机制清晰的得3分；有基本质量承诺但管控措施简略的得1-2分；无质量承诺的不得分。</w:t>
      </w:r>
    </w:p>
    <w:p w14:paraId="2E2B8CAD">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b/>
          <w:color w:val="auto"/>
          <w:sz w:val="28"/>
          <w:szCs w:val="28"/>
        </w:rPr>
      </w:pPr>
      <w:bookmarkStart w:id="12" w:name="heading_12"/>
      <w:r>
        <w:rPr>
          <w:rFonts w:hint="eastAsia" w:ascii="宋体" w:hAnsi="宋体" w:eastAsia="宋体" w:cs="宋体"/>
          <w:b/>
          <w:color w:val="auto"/>
          <w:sz w:val="28"/>
          <w:szCs w:val="28"/>
        </w:rPr>
        <w:t>3. 信息化服务能力（</w:t>
      </w:r>
      <w:r>
        <w:rPr>
          <w:rFonts w:hint="eastAsia" w:ascii="宋体" w:hAnsi="宋体" w:eastAsia="宋体" w:cs="宋体"/>
          <w:b/>
          <w:color w:val="auto"/>
          <w:sz w:val="28"/>
          <w:szCs w:val="28"/>
          <w:lang w:val="en-US" w:eastAsia="zh-CN"/>
        </w:rPr>
        <w:t>10</w:t>
      </w:r>
      <w:r>
        <w:rPr>
          <w:rFonts w:hint="eastAsia" w:ascii="宋体" w:hAnsi="宋体" w:eastAsia="宋体" w:cs="宋体"/>
          <w:b/>
          <w:color w:val="auto"/>
          <w:sz w:val="28"/>
          <w:szCs w:val="28"/>
        </w:rPr>
        <w:t>分）</w:t>
      </w:r>
      <w:bookmarkEnd w:id="12"/>
    </w:p>
    <w:p w14:paraId="3A1B09CF">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1）教材征订系统（</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拥有自主研发或合作运营的成熟教材征订管理系统，可实现在线征订、数据统计、库存查询、订单追溯等全流程功能，系统完善、操作便捷、适配校园管理实际需求，得</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分；系统功能基本齐全，可满足常规教材征订管理需求，得</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分；系统配置简陋、核心功能缺失，难以支撑正常业务开展，得1分及以下。</w:t>
      </w:r>
    </w:p>
    <w:p w14:paraId="18FB42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（2）教材管理配套系统（</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持有教材室管理系统、教材配套视频制作系统、教材课件配套制作系统等相关软件著作权登记证书，每个证书得0.5分，最高1分。</w:t>
      </w:r>
    </w:p>
    <w:p w14:paraId="31324F3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（3）专业技术人员（</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同时具备副高级及以上职称</w:t>
      </w:r>
      <w:r>
        <w:rPr>
          <w:rFonts w:hint="eastAsia" w:ascii="宋体" w:hAnsi="宋体" w:cs="宋体"/>
          <w:color w:val="auto"/>
          <w:sz w:val="28"/>
          <w:szCs w:val="28"/>
          <w:lang w:val="en-US" w:eastAsia="zh-CN"/>
        </w:rPr>
        <w:t>和</w:t>
      </w:r>
      <w:r>
        <w:rPr>
          <w:rFonts w:hint="eastAsia" w:ascii="宋体" w:hAnsi="宋体" w:eastAsia="宋体" w:cs="宋体"/>
          <w:color w:val="auto"/>
          <w:sz w:val="28"/>
          <w:szCs w:val="28"/>
        </w:rPr>
        <w:t>出版物发行员高级职业资格（国家三级</w:t>
      </w:r>
      <w:r>
        <w:rPr>
          <w:rFonts w:hint="eastAsia" w:ascii="宋体" w:hAnsi="宋体" w:cs="宋体"/>
          <w:color w:val="auto"/>
          <w:sz w:val="28"/>
          <w:szCs w:val="28"/>
          <w:lang w:val="en-US" w:eastAsia="zh-CN"/>
        </w:rPr>
        <w:t>以上</w:t>
      </w:r>
      <w:r>
        <w:rPr>
          <w:rFonts w:hint="eastAsia" w:ascii="宋体" w:hAnsi="宋体" w:eastAsia="宋体" w:cs="宋体"/>
          <w:color w:val="auto"/>
          <w:sz w:val="28"/>
          <w:szCs w:val="28"/>
        </w:rPr>
        <w:t>），每人计</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分；具备出版物发行员中级职业资格（国家四级），每人计</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分；按实际符合条件人员累计计分，总分不超过</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提供资格证书复印件及负责人社保缴纳或股东证明材料</w:t>
      </w:r>
      <w:r>
        <w:rPr>
          <w:rFonts w:hint="eastAsia" w:ascii="宋体" w:hAnsi="宋体" w:cs="宋体"/>
          <w:color w:val="auto"/>
          <w:sz w:val="28"/>
          <w:szCs w:val="28"/>
          <w:lang w:eastAsia="zh-CN"/>
        </w:rPr>
        <w:t>）</w:t>
      </w:r>
    </w:p>
    <w:p w14:paraId="0FE023F3">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1"/>
        <w:rPr>
          <w:rFonts w:hint="eastAsia" w:ascii="宋体" w:hAnsi="宋体" w:eastAsia="宋体" w:cs="宋体"/>
          <w:color w:val="auto"/>
          <w:sz w:val="28"/>
          <w:szCs w:val="28"/>
        </w:rPr>
      </w:pPr>
      <w:bookmarkStart w:id="13" w:name="heading_13"/>
      <w:r>
        <w:rPr>
          <w:rFonts w:hint="eastAsia" w:ascii="宋体" w:hAnsi="宋体" w:eastAsia="宋体" w:cs="宋体"/>
          <w:b/>
          <w:color w:val="auto"/>
          <w:sz w:val="28"/>
          <w:szCs w:val="28"/>
        </w:rPr>
        <w:t>（三）商务分（25分）</w:t>
      </w:r>
      <w:bookmarkEnd w:id="13"/>
    </w:p>
    <w:p w14:paraId="1287C63E">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color w:val="auto"/>
          <w:sz w:val="28"/>
          <w:szCs w:val="28"/>
        </w:rPr>
      </w:pPr>
      <w:bookmarkStart w:id="14" w:name="heading_14"/>
      <w:r>
        <w:rPr>
          <w:rFonts w:hint="eastAsia" w:ascii="宋体" w:hAnsi="宋体" w:eastAsia="宋体" w:cs="宋体"/>
          <w:b/>
          <w:color w:val="auto"/>
          <w:sz w:val="28"/>
          <w:szCs w:val="28"/>
        </w:rPr>
        <w:t>1. 企业综合实力</w:t>
      </w:r>
      <w:r>
        <w:rPr>
          <w:rFonts w:hint="eastAsia" w:ascii="宋体" w:hAnsi="宋体" w:eastAsia="宋体" w:cs="宋体"/>
          <w:b/>
          <w:color w:val="auto"/>
          <w:sz w:val="28"/>
          <w:szCs w:val="28"/>
        </w:rPr>
        <w:t>（1</w:t>
      </w:r>
      <w:r>
        <w:rPr>
          <w:rFonts w:hint="eastAsia" w:ascii="宋体" w:hAnsi="宋体" w:cs="宋体"/>
          <w:b/>
          <w:color w:val="auto"/>
          <w:sz w:val="28"/>
          <w:szCs w:val="28"/>
          <w:lang w:val="en-US" w:eastAsia="zh-CN"/>
        </w:rPr>
        <w:t>2</w:t>
      </w:r>
      <w:r>
        <w:rPr>
          <w:rFonts w:hint="eastAsia" w:ascii="宋体" w:hAnsi="宋体" w:eastAsia="宋体" w:cs="宋体"/>
          <w:b/>
          <w:color w:val="auto"/>
          <w:sz w:val="28"/>
          <w:szCs w:val="28"/>
        </w:rPr>
        <w:t>分）</w:t>
      </w:r>
      <w:bookmarkEnd w:id="14"/>
    </w:p>
    <w:p w14:paraId="5B72EFC8">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（1）注册资本（2分）：注册资本≥500万元得2分；300万元（含）-500万元得1分；300万元以下不得分（以营业执照为准）。</w:t>
      </w:r>
    </w:p>
    <w:p w14:paraId="3487E21E">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（2）经营年限（2分）：合法经营5年及以上得2分；3年（含）-5年得1分；3年以下不得分（以营业执照注册日期为准）。</w:t>
      </w:r>
    </w:p>
    <w:p w14:paraId="1722440F">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（3）仓储能力（3分）：自有或长期租赁标准化仓储场地，面积≥2000㎡得3分；1000㎡（含）-2000㎡得2分；500㎡（含）-1000㎡得1分；500㎡以下不得分（提供场地证明、租赁合同）。</w:t>
      </w:r>
    </w:p>
    <w:p w14:paraId="660017D1">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（4）资质证书（</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分）：具备有效的出版物经营许可证、营业执照等必备资质</w:t>
      </w:r>
      <w:r>
        <w:rPr>
          <w:rFonts w:hint="eastAsia" w:ascii="宋体" w:hAnsi="宋体" w:eastAsia="宋体" w:cs="宋体"/>
          <w:color w:val="auto"/>
          <w:sz w:val="28"/>
          <w:szCs w:val="28"/>
          <w:lang w:val="en-US" w:eastAsia="zh-CN"/>
        </w:rPr>
        <w:t>的得</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分</w:t>
      </w:r>
      <w:r>
        <w:rPr>
          <w:rFonts w:hint="eastAsia" w:ascii="宋体" w:hAnsi="宋体" w:cs="宋体"/>
          <w:color w:val="auto"/>
          <w:sz w:val="28"/>
          <w:szCs w:val="28"/>
          <w:lang w:val="en-US" w:eastAsia="zh-CN"/>
        </w:rPr>
        <w:t>（每个得0.5分，出版物经营</w:t>
      </w:r>
      <w:r>
        <w:rPr>
          <w:rFonts w:hint="eastAsia" w:ascii="宋体" w:hAnsi="宋体" w:eastAsia="宋体" w:cs="宋体"/>
          <w:color w:val="auto"/>
          <w:sz w:val="28"/>
          <w:szCs w:val="28"/>
        </w:rPr>
        <w:t>许可证</w:t>
      </w:r>
      <w:r>
        <w:rPr>
          <w:rFonts w:hint="eastAsia" w:ascii="宋体" w:hAnsi="宋体" w:cs="宋体"/>
          <w:color w:val="auto"/>
          <w:sz w:val="28"/>
          <w:szCs w:val="28"/>
          <w:lang w:val="en-US" w:eastAsia="zh-CN"/>
        </w:rPr>
        <w:t>需年检合格，否则不计分）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拥有</w:t>
      </w:r>
      <w:r>
        <w:rPr>
          <w:rFonts w:hint="eastAsia" w:ascii="宋体" w:hAnsi="宋体" w:eastAsia="宋体" w:cs="宋体"/>
          <w:color w:val="auto"/>
          <w:sz w:val="28"/>
          <w:szCs w:val="28"/>
          <w:lang w:val="en-US" w:eastAsia="zh-CN"/>
        </w:rPr>
        <w:t>国家标准认证的</w:t>
      </w:r>
      <w:r>
        <w:rPr>
          <w:rFonts w:hint="eastAsia" w:ascii="宋体" w:hAnsi="宋体" w:eastAsia="宋体" w:cs="宋体"/>
          <w:color w:val="auto"/>
          <w:sz w:val="28"/>
          <w:szCs w:val="28"/>
          <w:lang w:val="en-US" w:eastAsia="en-US"/>
        </w:rPr>
        <w:t>售后服务认证、质量管理体系</w:t>
      </w:r>
      <w:r>
        <w:rPr>
          <w:rFonts w:hint="eastAsia" w:ascii="宋体" w:hAnsi="宋体" w:eastAsia="宋体" w:cs="宋体"/>
          <w:color w:val="auto"/>
          <w:sz w:val="28"/>
          <w:szCs w:val="28"/>
          <w:lang w:val="en-US" w:eastAsia="zh-CN"/>
        </w:rPr>
        <w:t>认证</w:t>
      </w:r>
      <w:r>
        <w:rPr>
          <w:rFonts w:hint="eastAsia" w:ascii="宋体" w:hAnsi="宋体" w:eastAsia="宋体" w:cs="宋体"/>
          <w:color w:val="auto"/>
          <w:sz w:val="28"/>
          <w:szCs w:val="28"/>
          <w:lang w:val="en-US" w:eastAsia="en-US"/>
        </w:rPr>
        <w:t>、环境管理体系</w:t>
      </w:r>
      <w:r>
        <w:rPr>
          <w:rFonts w:hint="eastAsia" w:ascii="宋体" w:hAnsi="宋体" w:eastAsia="宋体" w:cs="宋体"/>
          <w:color w:val="auto"/>
          <w:sz w:val="28"/>
          <w:szCs w:val="28"/>
          <w:lang w:val="en-US" w:eastAsia="zh-CN"/>
        </w:rPr>
        <w:t>认证</w:t>
      </w:r>
      <w:r>
        <w:rPr>
          <w:rFonts w:hint="eastAsia" w:ascii="宋体" w:hAnsi="宋体" w:eastAsia="宋体" w:cs="宋体"/>
          <w:color w:val="auto"/>
          <w:sz w:val="28"/>
          <w:szCs w:val="28"/>
          <w:lang w:val="en-US" w:eastAsia="en-US"/>
        </w:rPr>
        <w:t>、职业健康安全管理体系</w:t>
      </w:r>
      <w:r>
        <w:rPr>
          <w:rFonts w:hint="eastAsia" w:ascii="宋体" w:hAnsi="宋体" w:eastAsia="宋体" w:cs="宋体"/>
          <w:color w:val="auto"/>
          <w:sz w:val="28"/>
          <w:szCs w:val="28"/>
          <w:lang w:val="en-US" w:eastAsia="zh-CN"/>
        </w:rPr>
        <w:t>认证</w:t>
      </w:r>
      <w:r>
        <w:rPr>
          <w:rFonts w:hint="eastAsia" w:ascii="宋体" w:hAnsi="宋体" w:eastAsia="宋体" w:cs="宋体"/>
          <w:color w:val="auto"/>
          <w:sz w:val="28"/>
          <w:szCs w:val="28"/>
        </w:rPr>
        <w:t>等相关</w:t>
      </w:r>
      <w:r>
        <w:rPr>
          <w:rFonts w:hint="eastAsia" w:ascii="宋体" w:hAnsi="宋体" w:eastAsia="宋体" w:cs="宋体"/>
          <w:color w:val="auto"/>
          <w:sz w:val="28"/>
          <w:szCs w:val="28"/>
          <w:lang w:val="en-US" w:eastAsia="zh-CN"/>
        </w:rPr>
        <w:t>体系认证</w:t>
      </w:r>
      <w:r>
        <w:rPr>
          <w:rFonts w:hint="eastAsia" w:ascii="宋体" w:hAnsi="宋体" w:eastAsia="宋体" w:cs="宋体"/>
          <w:color w:val="auto"/>
          <w:sz w:val="28"/>
          <w:szCs w:val="28"/>
        </w:rPr>
        <w:t>的</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每提供一个证书</w:t>
      </w:r>
      <w:r>
        <w:rPr>
          <w:rFonts w:hint="eastAsia" w:ascii="宋体" w:hAnsi="宋体" w:eastAsia="宋体" w:cs="宋体"/>
          <w:color w:val="auto"/>
          <w:sz w:val="28"/>
          <w:szCs w:val="28"/>
        </w:rPr>
        <w:t>得</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最高4分</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以上2项累计计分最高得5分</w:t>
      </w:r>
      <w:r>
        <w:rPr>
          <w:rFonts w:hint="eastAsia" w:ascii="宋体" w:hAnsi="宋体" w:eastAsia="宋体" w:cs="宋体"/>
          <w:color w:val="auto"/>
          <w:sz w:val="28"/>
          <w:szCs w:val="28"/>
        </w:rPr>
        <w:t>；资质不全、证件过期</w:t>
      </w:r>
      <w:r>
        <w:rPr>
          <w:rFonts w:hint="eastAsia" w:ascii="宋体" w:hAnsi="宋体" w:eastAsia="宋体" w:cs="宋体"/>
          <w:color w:val="auto"/>
          <w:sz w:val="28"/>
          <w:szCs w:val="28"/>
          <w:lang w:val="en-US" w:eastAsia="zh-CN"/>
        </w:rPr>
        <w:t>无效</w:t>
      </w:r>
      <w:r>
        <w:rPr>
          <w:rFonts w:hint="eastAsia" w:ascii="宋体" w:hAnsi="宋体" w:eastAsia="宋体" w:cs="宋体"/>
          <w:color w:val="auto"/>
          <w:sz w:val="28"/>
          <w:szCs w:val="28"/>
        </w:rPr>
        <w:t>的</w:t>
      </w:r>
      <w:r>
        <w:rPr>
          <w:rFonts w:hint="eastAsia" w:ascii="宋体" w:hAnsi="宋体" w:eastAsia="宋体" w:cs="宋体"/>
          <w:color w:val="auto"/>
          <w:sz w:val="28"/>
          <w:szCs w:val="28"/>
          <w:lang w:val="en-US" w:eastAsia="zh-CN"/>
        </w:rPr>
        <w:t>本项</w:t>
      </w:r>
      <w:r>
        <w:rPr>
          <w:rFonts w:hint="eastAsia" w:ascii="宋体" w:hAnsi="宋体" w:eastAsia="宋体" w:cs="宋体"/>
          <w:color w:val="auto"/>
          <w:sz w:val="28"/>
          <w:szCs w:val="28"/>
        </w:rPr>
        <w:t>不得分。（提供</w:t>
      </w:r>
      <w:r>
        <w:rPr>
          <w:rFonts w:hint="eastAsia" w:ascii="宋体" w:hAnsi="宋体" w:cs="宋体"/>
          <w:color w:val="auto"/>
          <w:sz w:val="28"/>
          <w:szCs w:val="28"/>
          <w:lang w:val="en-US" w:eastAsia="zh-CN"/>
        </w:rPr>
        <w:t>相关资质</w:t>
      </w:r>
      <w:r>
        <w:rPr>
          <w:rFonts w:hint="eastAsia" w:ascii="宋体" w:hAnsi="宋体" w:eastAsia="宋体" w:cs="宋体"/>
          <w:color w:val="auto"/>
          <w:sz w:val="28"/>
          <w:szCs w:val="28"/>
        </w:rPr>
        <w:t>材料）</w:t>
      </w:r>
    </w:p>
    <w:p w14:paraId="193D147E">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outlineLvl w:val="2"/>
        <w:rPr>
          <w:rFonts w:hint="eastAsia" w:ascii="宋体" w:hAnsi="宋体" w:eastAsia="宋体" w:cs="宋体"/>
          <w:color w:val="auto"/>
          <w:sz w:val="28"/>
          <w:szCs w:val="28"/>
        </w:rPr>
      </w:pPr>
      <w:bookmarkStart w:id="15" w:name="heading_15"/>
      <w:r>
        <w:rPr>
          <w:rFonts w:hint="eastAsia" w:ascii="宋体" w:hAnsi="宋体" w:eastAsia="宋体" w:cs="宋体"/>
          <w:b/>
          <w:color w:val="auto"/>
          <w:sz w:val="28"/>
          <w:szCs w:val="28"/>
        </w:rPr>
        <w:t>2. 项目供货经验（</w:t>
      </w:r>
      <w:r>
        <w:rPr>
          <w:rFonts w:hint="eastAsia" w:ascii="宋体" w:hAnsi="宋体" w:cs="宋体"/>
          <w:b/>
          <w:color w:val="auto"/>
          <w:sz w:val="28"/>
          <w:szCs w:val="28"/>
          <w:lang w:val="en-US" w:eastAsia="zh-CN"/>
        </w:rPr>
        <w:t>8</w:t>
      </w:r>
      <w:r>
        <w:rPr>
          <w:rFonts w:hint="eastAsia" w:ascii="宋体" w:hAnsi="宋体" w:eastAsia="宋体" w:cs="宋体"/>
          <w:b/>
          <w:color w:val="auto"/>
          <w:sz w:val="28"/>
          <w:szCs w:val="28"/>
        </w:rPr>
        <w:t>分）</w:t>
      </w:r>
      <w:bookmarkEnd w:id="15"/>
    </w:p>
    <w:p w14:paraId="636254AD">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（1）高校</w:t>
      </w:r>
      <w:r>
        <w:rPr>
          <w:rFonts w:hint="eastAsia" w:ascii="宋体" w:hAnsi="宋体" w:cs="宋体"/>
          <w:color w:val="auto"/>
          <w:sz w:val="28"/>
          <w:szCs w:val="28"/>
          <w:lang w:val="en-US" w:eastAsia="zh-CN"/>
        </w:rPr>
        <w:t>教材</w:t>
      </w:r>
      <w:r>
        <w:rPr>
          <w:rFonts w:hint="eastAsia" w:ascii="宋体" w:hAnsi="宋体" w:eastAsia="宋体" w:cs="宋体"/>
          <w:color w:val="auto"/>
          <w:sz w:val="28"/>
          <w:szCs w:val="28"/>
        </w:rPr>
        <w:t>供货经验（</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分）：近3年有</w:t>
      </w:r>
      <w:r>
        <w:rPr>
          <w:rFonts w:hint="eastAsia" w:ascii="宋体" w:hAnsi="宋体" w:cs="宋体"/>
          <w:color w:val="auto"/>
          <w:sz w:val="28"/>
          <w:szCs w:val="28"/>
          <w:lang w:val="en-US" w:eastAsia="zh-CN"/>
        </w:rPr>
        <w:t>高校教材供货成功案例，按以下标准计分：5</w:t>
      </w:r>
      <w:r>
        <w:rPr>
          <w:rFonts w:hint="eastAsia" w:ascii="宋体" w:hAnsi="宋体" w:eastAsia="宋体" w:cs="宋体"/>
          <w:color w:val="auto"/>
          <w:sz w:val="28"/>
          <w:szCs w:val="28"/>
        </w:rPr>
        <w:t>所及以上高校教材供货案例得</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分；</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所高校案例</w:t>
      </w:r>
      <w:r>
        <w:rPr>
          <w:rFonts w:hint="eastAsia" w:ascii="宋体" w:hAnsi="宋体" w:cs="宋体"/>
          <w:color w:val="auto"/>
          <w:sz w:val="28"/>
          <w:szCs w:val="28"/>
          <w:lang w:val="en-US" w:eastAsia="zh-CN"/>
        </w:rPr>
        <w:t>3分；3</w:t>
      </w:r>
      <w:r>
        <w:rPr>
          <w:rFonts w:hint="eastAsia" w:ascii="宋体" w:hAnsi="宋体" w:eastAsia="宋体" w:cs="宋体"/>
          <w:color w:val="auto"/>
          <w:sz w:val="28"/>
          <w:szCs w:val="28"/>
        </w:rPr>
        <w:t>所高校案例得</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分；</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所高校案例得</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所</w:t>
      </w:r>
      <w:r>
        <w:rPr>
          <w:rFonts w:hint="eastAsia" w:ascii="宋体" w:hAnsi="宋体" w:eastAsia="宋体" w:cs="宋体"/>
          <w:color w:val="auto"/>
          <w:sz w:val="28"/>
          <w:szCs w:val="28"/>
          <w:lang w:val="en-US" w:eastAsia="zh-CN"/>
        </w:rPr>
        <w:t>及</w:t>
      </w:r>
      <w:r>
        <w:rPr>
          <w:rFonts w:hint="eastAsia" w:ascii="宋体" w:hAnsi="宋体" w:cs="宋体"/>
          <w:color w:val="auto"/>
          <w:sz w:val="28"/>
          <w:szCs w:val="28"/>
          <w:lang w:val="en-US" w:eastAsia="zh-CN"/>
        </w:rPr>
        <w:t>以下的</w:t>
      </w:r>
      <w:r>
        <w:rPr>
          <w:rFonts w:hint="eastAsia" w:ascii="宋体" w:hAnsi="宋体" w:eastAsia="宋体" w:cs="宋体"/>
          <w:color w:val="auto"/>
          <w:sz w:val="28"/>
          <w:szCs w:val="28"/>
        </w:rPr>
        <w:t>不得分（提供合同佐证材料）。</w:t>
      </w:r>
      <w:r>
        <w:rPr>
          <w:rFonts w:hint="eastAsia" w:ascii="宋体" w:hAnsi="宋体" w:cs="宋体"/>
          <w:color w:val="auto"/>
          <w:sz w:val="28"/>
          <w:szCs w:val="28"/>
          <w:lang w:val="en-US" w:eastAsia="zh-CN"/>
        </w:rPr>
        <w:t>其中5所及以上的均为</w:t>
      </w:r>
      <w:r>
        <w:rPr>
          <w:rFonts w:hint="eastAsia" w:ascii="宋体" w:hAnsi="宋体" w:eastAsia="宋体" w:cs="宋体"/>
          <w:color w:val="auto"/>
          <w:sz w:val="28"/>
          <w:szCs w:val="28"/>
        </w:rPr>
        <w:t>高职院校</w:t>
      </w:r>
      <w:r>
        <w:rPr>
          <w:rFonts w:hint="eastAsia" w:ascii="宋体" w:hAnsi="宋体" w:eastAsia="宋体" w:cs="宋体"/>
          <w:color w:val="auto"/>
          <w:sz w:val="28"/>
          <w:szCs w:val="28"/>
          <w:lang w:val="en-US" w:eastAsia="zh-CN"/>
        </w:rPr>
        <w:t>的再得1分，本项最高5分。</w:t>
      </w:r>
    </w:p>
    <w:p w14:paraId="13051E8B">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（3）近三年类似业绩（2分）：提供近3年完整、真实的教材采购同类项目合同，业绩充足的得2分；业绩较少或材料不全的得1分；无有效业绩证明的不得分。（提供合同佐证材料）</w:t>
      </w:r>
    </w:p>
    <w:p w14:paraId="4711FCC8">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近3年内履约</w:t>
      </w:r>
      <w:r>
        <w:rPr>
          <w:rFonts w:hint="eastAsia" w:ascii="宋体" w:hAnsi="宋体" w:eastAsia="宋体" w:cs="宋体"/>
          <w:color w:val="auto"/>
          <w:sz w:val="28"/>
          <w:szCs w:val="28"/>
          <w:lang w:val="en-US" w:eastAsia="zh-CN"/>
        </w:rPr>
        <w:t>服务优秀（1分）：</w:t>
      </w:r>
      <w:r>
        <w:rPr>
          <w:rFonts w:hint="eastAsia" w:ascii="宋体" w:hAnsi="宋体" w:eastAsia="宋体" w:cs="宋体"/>
          <w:color w:val="auto"/>
          <w:sz w:val="28"/>
          <w:szCs w:val="28"/>
        </w:rPr>
        <w:t>高校教材供应服务履约反馈被评定为优秀的，每家得0.5分，</w:t>
      </w:r>
      <w:r>
        <w:rPr>
          <w:rFonts w:hint="eastAsia" w:ascii="宋体" w:hAnsi="宋体" w:cs="宋体"/>
          <w:color w:val="auto"/>
          <w:sz w:val="28"/>
          <w:szCs w:val="28"/>
          <w:lang w:val="en-US" w:eastAsia="zh-CN"/>
        </w:rPr>
        <w:t>本项</w:t>
      </w:r>
      <w:r>
        <w:rPr>
          <w:rFonts w:hint="eastAsia" w:ascii="宋体" w:hAnsi="宋体" w:eastAsia="宋体" w:cs="宋体"/>
          <w:color w:val="auto"/>
          <w:sz w:val="28"/>
          <w:szCs w:val="28"/>
        </w:rPr>
        <w:t>最</w:t>
      </w:r>
      <w:r>
        <w:rPr>
          <w:rFonts w:hint="eastAsia" w:ascii="宋体" w:hAnsi="宋体" w:cs="宋体"/>
          <w:color w:val="auto"/>
          <w:sz w:val="28"/>
          <w:szCs w:val="28"/>
          <w:lang w:val="en-US" w:eastAsia="zh-CN"/>
        </w:rPr>
        <w:t>高</w:t>
      </w:r>
      <w:r>
        <w:rPr>
          <w:rFonts w:hint="eastAsia" w:ascii="宋体" w:hAnsi="宋体" w:eastAsia="宋体" w:cs="宋体"/>
          <w:color w:val="auto"/>
          <w:sz w:val="28"/>
          <w:szCs w:val="28"/>
        </w:rPr>
        <w:t>得1分；无优秀评价的不得分。（提供佐证材料）</w:t>
      </w:r>
    </w:p>
    <w:p w14:paraId="0F73AAB5">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注：在原有基础上对分值进行了调整，整合了一下。</w:t>
      </w:r>
    </w:p>
    <w:p w14:paraId="2D1D3B3A">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2"/>
        <w:rPr>
          <w:rFonts w:hint="eastAsia" w:ascii="宋体" w:hAnsi="宋体" w:eastAsia="宋体" w:cs="宋体"/>
          <w:color w:val="auto"/>
          <w:sz w:val="28"/>
          <w:szCs w:val="28"/>
        </w:rPr>
      </w:pPr>
      <w:bookmarkStart w:id="16" w:name="heading_16"/>
      <w:r>
        <w:rPr>
          <w:rFonts w:hint="eastAsia" w:ascii="宋体" w:hAnsi="宋体" w:eastAsia="宋体" w:cs="宋体"/>
          <w:b/>
          <w:color w:val="auto"/>
          <w:sz w:val="28"/>
          <w:szCs w:val="28"/>
        </w:rPr>
        <w:t>3. 综合服务能力（</w:t>
      </w: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分）</w:t>
      </w:r>
      <w:bookmarkEnd w:id="16"/>
    </w:p>
    <w:p w14:paraId="0202D730">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（1）售后服务承诺</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分）</w:t>
      </w:r>
      <w:r>
        <w:rPr>
          <w:rFonts w:hint="eastAsia" w:ascii="宋体" w:hAnsi="宋体" w:eastAsia="宋体" w:cs="宋体"/>
          <w:color w:val="auto"/>
          <w:sz w:val="28"/>
          <w:szCs w:val="28"/>
        </w:rPr>
        <w:t>：售后服务体系完善，承诺内容具体、贴合校园需求、可落地执行，包含全程对接、问题整改、售后保障等内容的得</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分；承诺基本完整的得1分；承诺空洞、无具体措施的不得分。</w:t>
      </w:r>
    </w:p>
    <w:p w14:paraId="7723FA96">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（2）退换货政策</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分）</w:t>
      </w:r>
      <w:r>
        <w:rPr>
          <w:rFonts w:hint="eastAsia" w:ascii="宋体" w:hAnsi="宋体" w:eastAsia="宋体" w:cs="宋体"/>
          <w:color w:val="auto"/>
          <w:sz w:val="28"/>
          <w:szCs w:val="28"/>
        </w:rPr>
        <w:t>：制定合理、便捷的教材退换货机制，针对残次教材、错发教材、多余教材等可免费退换，流程简单、时效明确的得</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分；退换货政策有局限、流程繁琐的得1分；无明确退换货政策的不得分。</w:t>
      </w:r>
    </w:p>
    <w:p w14:paraId="332DDB9E">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（3）问题响应时效</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eastAsia="宋体" w:cs="宋体"/>
          <w:color w:val="auto"/>
          <w:sz w:val="28"/>
          <w:szCs w:val="28"/>
        </w:rPr>
        <w:t>：承诺24小时服务热线畅通，日常问题即时响应、一般问题24小时内处置完毕、重大问题48小时内出具解决方案，响应迅速、处置高效的得</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分；响应时效一般的得</w:t>
      </w:r>
      <w:r>
        <w:rPr>
          <w:rFonts w:hint="eastAsia" w:ascii="宋体" w:hAnsi="宋体" w:cs="宋体"/>
          <w:color w:val="auto"/>
          <w:sz w:val="28"/>
          <w:szCs w:val="28"/>
          <w:lang w:val="en-US" w:eastAsia="zh-CN"/>
        </w:rPr>
        <w:t>0.5</w:t>
      </w:r>
      <w:r>
        <w:rPr>
          <w:rFonts w:hint="eastAsia" w:ascii="宋体" w:hAnsi="宋体" w:eastAsia="宋体" w:cs="宋体"/>
          <w:color w:val="auto"/>
          <w:sz w:val="28"/>
          <w:szCs w:val="28"/>
        </w:rPr>
        <w:t>分；无明确响应机制的不得分。</w:t>
      </w:r>
    </w:p>
    <w:p w14:paraId="1256A839">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配套支撑服务</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：供应商能够支持或指导学校开展国家规划教材建设、教学成果奖申报等相关工作：供应商团队负责人成功组织申报国家规划教材的得0.5分；供应商团队负责人获得国家教学成果奖的得0.5分。</w:t>
      </w:r>
      <w:r>
        <w:rPr>
          <w:rFonts w:hint="eastAsia" w:ascii="宋体" w:hAnsi="宋体" w:cs="宋体"/>
          <w:color w:val="auto"/>
          <w:sz w:val="28"/>
          <w:szCs w:val="28"/>
          <w:lang w:val="en-US" w:eastAsia="zh-CN"/>
        </w:rPr>
        <w:t>（提供证书、社保或股东等相关佐证材料）</w:t>
      </w:r>
    </w:p>
    <w:p w14:paraId="6F4EE0B3">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outlineLvl w:val="0"/>
        <w:rPr>
          <w:rFonts w:hint="eastAsia" w:ascii="宋体" w:hAnsi="宋体" w:eastAsia="宋体" w:cs="宋体"/>
          <w:color w:val="auto"/>
          <w:sz w:val="28"/>
          <w:szCs w:val="28"/>
        </w:rPr>
      </w:pPr>
      <w:bookmarkStart w:id="17" w:name="heading_17"/>
      <w:r>
        <w:rPr>
          <w:rFonts w:hint="eastAsia" w:ascii="宋体" w:hAnsi="宋体" w:eastAsia="宋体" w:cs="宋体"/>
          <w:b/>
          <w:color w:val="auto"/>
          <w:sz w:val="28"/>
          <w:szCs w:val="28"/>
        </w:rPr>
        <w:t>四、遴选工作程序</w:t>
      </w:r>
      <w:bookmarkEnd w:id="17"/>
    </w:p>
    <w:p w14:paraId="3631F5CD">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本次教材供应商遴选工作全程公开、流程闭环，严格按照以下程序有序开展，全程留痕、可查可溯。</w:t>
      </w:r>
    </w:p>
    <w:p w14:paraId="101BA5DE">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发布遴选公告：在学校官方网站、采购公示平台发布正式遴选公告，明确项目需求、资质要求、评分标准、报名材料、截止时间等关键信息，公告公示期不少于</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个工作日。</w:t>
      </w:r>
    </w:p>
    <w:p w14:paraId="727A5B77">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供应商自主报名：符合基本资质的供应商在公告规定时限内，完整提交报名申请表、企业资质、业绩材料、服务方案、报价文件等全套资料，逾期不予受理。</w:t>
      </w:r>
    </w:p>
    <w:p w14:paraId="0470B6CD">
      <w:pPr>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 资格前置审查：由学校教务处、</w:t>
      </w:r>
      <w:r>
        <w:rPr>
          <w:rFonts w:hint="eastAsia" w:ascii="宋体" w:hAnsi="宋体" w:cs="宋体"/>
          <w:color w:val="auto"/>
          <w:sz w:val="28"/>
          <w:szCs w:val="28"/>
          <w:lang w:val="en-US" w:eastAsia="zh-CN"/>
        </w:rPr>
        <w:t>后勤处</w:t>
      </w:r>
      <w:r>
        <w:rPr>
          <w:rFonts w:hint="eastAsia" w:ascii="宋体" w:hAnsi="宋体" w:eastAsia="宋体" w:cs="宋体"/>
          <w:color w:val="auto"/>
          <w:sz w:val="28"/>
          <w:szCs w:val="28"/>
        </w:rPr>
        <w:t>、财务处</w:t>
      </w:r>
      <w:r>
        <w:rPr>
          <w:rFonts w:hint="eastAsia" w:ascii="宋体" w:hAnsi="宋体" w:cs="宋体"/>
          <w:color w:val="auto"/>
          <w:sz w:val="28"/>
          <w:szCs w:val="28"/>
          <w:lang w:val="en-US" w:eastAsia="zh-CN"/>
        </w:rPr>
        <w:t>等</w:t>
      </w:r>
      <w:r>
        <w:rPr>
          <w:rFonts w:hint="eastAsia" w:ascii="宋体" w:hAnsi="宋体" w:eastAsia="宋体" w:cs="宋体"/>
          <w:color w:val="auto"/>
          <w:sz w:val="28"/>
          <w:szCs w:val="28"/>
        </w:rPr>
        <w:t>部门组成初审小组，对报名供应商的资质、材料完整性、合规性进行审查，剔除不符合基本条件的供应商，确定正式入围评审名单。</w:t>
      </w:r>
    </w:p>
    <w:p w14:paraId="6A57BAEE">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 综合评审打分：组织专项评审委员会，严格按照本方案评分细则，对入围供应商的价格、技术、商务维度进行独立、客观、公正打分，核算最终综合得分并排序。</w:t>
      </w:r>
    </w:p>
    <w:p w14:paraId="1DF62C24">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 评审结果公示：将供应商综合得分、排名、拟入围名单在学校官网进行公示，公示期不少于3个工作日，公示期间接受全校师生监督，受理合规异议申诉。</w:t>
      </w:r>
    </w:p>
    <w:p w14:paraId="54B6D0FF">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 签订正式合同：公示无异议后，学校与拟中标供应商签订年度教材供货服务合同，明确双方权利义务、供货标准、服务要求、违约责任及考核机制。</w:t>
      </w:r>
    </w:p>
    <w:p w14:paraId="7F2347E2">
      <w:pPr>
        <w:keepNext w:val="0"/>
        <w:keepLines w:val="0"/>
        <w:pageBreakBefore w:val="0"/>
        <w:widowControl w:val="0"/>
        <w:kinsoku/>
        <w:wordWrap/>
        <w:overflowPunct/>
        <w:topLinePunct w:val="0"/>
        <w:autoSpaceDE/>
        <w:autoSpaceDN/>
        <w:bidi w:val="0"/>
        <w:adjustRightInd/>
        <w:snapToGrid/>
        <w:spacing w:before="0" w:after="0" w:line="540" w:lineRule="exact"/>
        <w:ind w:left="0"/>
        <w:jc w:val="left"/>
        <w:textAlignment w:val="auto"/>
        <w:outlineLvl w:val="0"/>
        <w:rPr>
          <w:rFonts w:hint="eastAsia" w:ascii="宋体" w:hAnsi="宋体" w:eastAsia="宋体" w:cs="宋体"/>
          <w:color w:val="auto"/>
          <w:sz w:val="28"/>
          <w:szCs w:val="28"/>
        </w:rPr>
      </w:pPr>
      <w:bookmarkStart w:id="18" w:name="heading_19"/>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rPr>
        <w:t>、无效响应否决条款</w:t>
      </w:r>
      <w:bookmarkEnd w:id="18"/>
    </w:p>
    <w:p w14:paraId="3E20F2BF">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供应商存在以下任意情形之一的，直接判定为</w:t>
      </w:r>
      <w:r>
        <w:rPr>
          <w:rFonts w:hint="eastAsia" w:ascii="宋体" w:hAnsi="宋体" w:eastAsia="宋体" w:cs="宋体"/>
          <w:b/>
          <w:color w:val="auto"/>
          <w:sz w:val="28"/>
          <w:szCs w:val="28"/>
        </w:rPr>
        <w:t>无效响应</w:t>
      </w:r>
      <w:r>
        <w:rPr>
          <w:rFonts w:hint="eastAsia" w:ascii="宋体" w:hAnsi="宋体" w:eastAsia="宋体" w:cs="宋体"/>
          <w:color w:val="auto"/>
          <w:sz w:val="28"/>
          <w:szCs w:val="28"/>
        </w:rPr>
        <w:t>，取消本次遴选评审资格，情节严重的纳入学校供应商黑名单，限制后续合作：</w:t>
      </w:r>
    </w:p>
    <w:p w14:paraId="061EE3CB">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不具备独立承担民事责任的法人主体资格，资质不全、证件过期或无效的；</w:t>
      </w:r>
    </w:p>
    <w:p w14:paraId="3E23A7B2">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投标文件、报价文件未按规定密封、盖章、标识，材料缺失、格式严重不符的；</w:t>
      </w:r>
    </w:p>
    <w:p w14:paraId="6FECF611">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 投标报价超出项目预算、高于市场指导价或明显低于成本价，存在恶意竞标嫌疑的；</w:t>
      </w:r>
    </w:p>
    <w:p w14:paraId="0697B731">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 提供虚假资质、虚假业绩、虚假授权、虚假承诺等伪造材料的；</w:t>
      </w:r>
    </w:p>
    <w:p w14:paraId="229B9679">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 近三年存在重大违法违规经营记录、政府采购失信记录、盗版教材供货不良记录的；</w:t>
      </w:r>
    </w:p>
    <w:p w14:paraId="52104531">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 不满足遴选文件实质性条款要求，核心服务、供货能力、质量保障不达标；</w:t>
      </w:r>
    </w:p>
    <w:p w14:paraId="51E58D45">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 评审过程中串通投标、恶意竞争、干扰评审工作正常开展的其他违规情形。</w:t>
      </w:r>
    </w:p>
    <w:p w14:paraId="79615BA1">
      <w:pPr>
        <w:keepNext w:val="0"/>
        <w:keepLines w:val="0"/>
        <w:pageBreakBefore w:val="0"/>
        <w:widowControl w:val="0"/>
        <w:kinsoku/>
        <w:wordWrap/>
        <w:overflowPunct/>
        <w:topLinePunct w:val="0"/>
        <w:autoSpaceDE/>
        <w:autoSpaceDN/>
        <w:bidi w:val="0"/>
        <w:adjustRightInd/>
        <w:snapToGrid/>
        <w:spacing w:before="0" w:after="0" w:line="540" w:lineRule="exact"/>
        <w:ind w:left="0"/>
        <w:jc w:val="left"/>
        <w:textAlignment w:val="auto"/>
        <w:outlineLvl w:val="0"/>
        <w:rPr>
          <w:rFonts w:hint="eastAsia" w:ascii="宋体" w:hAnsi="宋体" w:eastAsia="宋体" w:cs="宋体"/>
          <w:color w:val="auto"/>
          <w:sz w:val="28"/>
          <w:szCs w:val="28"/>
        </w:rPr>
      </w:pPr>
      <w:bookmarkStart w:id="19" w:name="heading_20"/>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rPr>
        <w:t>、合同履约管理要求</w:t>
      </w:r>
      <w:bookmarkEnd w:id="19"/>
    </w:p>
    <w:p w14:paraId="2417A1FB">
      <w:pPr>
        <w:keepNext w:val="0"/>
        <w:keepLines w:val="0"/>
        <w:pageBreakBefore w:val="0"/>
        <w:widowControl w:val="0"/>
        <w:kinsoku/>
        <w:wordWrap/>
        <w:overflowPunct/>
        <w:topLinePunct w:val="0"/>
        <w:autoSpaceDE/>
        <w:autoSpaceDN/>
        <w:bidi w:val="0"/>
        <w:adjustRightInd/>
        <w:snapToGrid/>
        <w:spacing w:before="0" w:after="0" w:line="540" w:lineRule="exact"/>
        <w:ind w:left="0"/>
        <w:jc w:val="left"/>
        <w:textAlignment w:val="auto"/>
        <w:outlineLvl w:val="1"/>
        <w:rPr>
          <w:rFonts w:hint="eastAsia" w:ascii="宋体" w:hAnsi="宋体" w:eastAsia="宋体" w:cs="宋体"/>
          <w:color w:val="auto"/>
          <w:sz w:val="28"/>
          <w:szCs w:val="28"/>
        </w:rPr>
      </w:pPr>
      <w:bookmarkStart w:id="20" w:name="heading_21"/>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.1 供货时效要求</w:t>
      </w:r>
      <w:bookmarkEnd w:id="20"/>
    </w:p>
    <w:p w14:paraId="04BB3A7B">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常规教材：必须在</w:t>
      </w:r>
      <w:r>
        <w:rPr>
          <w:rFonts w:hint="eastAsia" w:ascii="宋体" w:hAnsi="宋体" w:eastAsia="宋体" w:cs="宋体"/>
          <w:color w:val="auto"/>
          <w:sz w:val="28"/>
          <w:szCs w:val="28"/>
          <w:lang w:val="en-US" w:eastAsia="zh-CN"/>
        </w:rPr>
        <w:t>我校指定的日期（7月8日）将</w:t>
      </w:r>
      <w:r>
        <w:rPr>
          <w:rFonts w:hint="eastAsia" w:ascii="宋体" w:hAnsi="宋体" w:eastAsia="宋体" w:cs="宋体"/>
          <w:color w:val="auto"/>
          <w:sz w:val="28"/>
          <w:szCs w:val="28"/>
        </w:rPr>
        <w:t>全部教材</w:t>
      </w:r>
      <w:r>
        <w:rPr>
          <w:rFonts w:hint="eastAsia" w:ascii="宋体" w:hAnsi="宋体" w:eastAsia="宋体" w:cs="宋体"/>
          <w:color w:val="auto"/>
          <w:sz w:val="28"/>
          <w:szCs w:val="28"/>
          <w:lang w:val="en-US" w:eastAsia="zh-CN"/>
        </w:rPr>
        <w:t>完成</w:t>
      </w:r>
      <w:r>
        <w:rPr>
          <w:rFonts w:hint="eastAsia" w:ascii="宋体" w:hAnsi="宋体" w:eastAsia="宋体" w:cs="宋体"/>
          <w:color w:val="auto"/>
          <w:sz w:val="28"/>
          <w:szCs w:val="28"/>
        </w:rPr>
        <w:t>配送、分拣、入库工作，保障</w:t>
      </w:r>
      <w:r>
        <w:rPr>
          <w:rFonts w:hint="eastAsia" w:ascii="宋体" w:hAnsi="宋体" w:eastAsia="宋体" w:cs="宋体"/>
          <w:color w:val="auto"/>
          <w:sz w:val="28"/>
          <w:szCs w:val="28"/>
          <w:lang w:val="en-US" w:eastAsia="zh-CN"/>
        </w:rPr>
        <w:t>学生</w:t>
      </w:r>
      <w:r>
        <w:rPr>
          <w:rFonts w:hint="eastAsia" w:ascii="宋体" w:hAnsi="宋体" w:eastAsia="宋体" w:cs="宋体"/>
          <w:color w:val="auto"/>
          <w:sz w:val="28"/>
          <w:szCs w:val="28"/>
        </w:rPr>
        <w:t>正常</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w:t>
      </w:r>
    </w:p>
    <w:p w14:paraId="74641979">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临时增订教材、补订教材：收到学校订单后3个工作日内完成全部配送到位。</w:t>
      </w:r>
    </w:p>
    <w:p w14:paraId="28EA4610">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 教材改版、补印应急教材：优先加急处理，保障教学进度不受影响。</w:t>
      </w:r>
    </w:p>
    <w:p w14:paraId="40701E26">
      <w:pPr>
        <w:keepNext w:val="0"/>
        <w:keepLines w:val="0"/>
        <w:pageBreakBefore w:val="0"/>
        <w:widowControl w:val="0"/>
        <w:kinsoku/>
        <w:wordWrap/>
        <w:overflowPunct/>
        <w:topLinePunct w:val="0"/>
        <w:autoSpaceDE/>
        <w:autoSpaceDN/>
        <w:bidi w:val="0"/>
        <w:adjustRightInd/>
        <w:snapToGrid/>
        <w:spacing w:before="0" w:after="0" w:line="540" w:lineRule="exact"/>
        <w:ind w:left="0"/>
        <w:jc w:val="left"/>
        <w:textAlignment w:val="auto"/>
        <w:outlineLvl w:val="1"/>
        <w:rPr>
          <w:rFonts w:hint="eastAsia" w:ascii="宋体" w:hAnsi="宋体" w:eastAsia="宋体" w:cs="宋体"/>
          <w:color w:val="auto"/>
          <w:sz w:val="28"/>
          <w:szCs w:val="28"/>
        </w:rPr>
      </w:pPr>
      <w:bookmarkStart w:id="21" w:name="heading_22"/>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.2 教材质量要求</w:t>
      </w:r>
      <w:bookmarkEnd w:id="21"/>
    </w:p>
    <w:p w14:paraId="1130BAE9">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所有供货教材必须为全新正版、官方正版教材，无盗版、无影印、无翻新，货源正规可追溯。</w:t>
      </w:r>
    </w:p>
    <w:p w14:paraId="2121F86E">
      <w:pPr>
        <w:keepNext w:val="0"/>
        <w:keepLines w:val="0"/>
        <w:pageBreakBefore w:val="0"/>
        <w:widowControl w:val="0"/>
        <w:kinsoku/>
        <w:wordWrap/>
        <w:overflowPunct/>
        <w:topLinePunct w:val="0"/>
        <w:autoSpaceDE/>
        <w:autoSpaceDN/>
        <w:bidi w:val="0"/>
        <w:adjustRightInd/>
        <w:snapToGrid/>
        <w:spacing w:before="0" w:after="0" w:line="54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教材版本严格匹配学校教学大纲及学期授课计划，为最新官方指定版本，未经学校允许不得擅自更换版本、替换教材。</w:t>
      </w:r>
    </w:p>
    <w:p w14:paraId="7266F962">
      <w:pPr>
        <w:keepNext w:val="0"/>
        <w:keepLines w:val="0"/>
        <w:pageBreakBefore w:val="0"/>
        <w:widowControl w:val="0"/>
        <w:kinsoku/>
        <w:wordWrap/>
        <w:overflowPunct/>
        <w:topLinePunct w:val="0"/>
        <w:autoSpaceDE/>
        <w:autoSpaceDN/>
        <w:bidi w:val="0"/>
        <w:adjustRightInd/>
        <w:snapToGrid/>
        <w:spacing w:before="0" w:after="0" w:line="52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 教材印刷清晰、装订牢固、无破损、无缺页、无错印漏印，整体破损率严格控制在1%以内，超出比例无条件免费更换。</w:t>
      </w:r>
    </w:p>
    <w:p w14:paraId="2C1C66BC">
      <w:pPr>
        <w:keepNext w:val="0"/>
        <w:keepLines w:val="0"/>
        <w:pageBreakBefore w:val="0"/>
        <w:widowControl w:val="0"/>
        <w:kinsoku/>
        <w:wordWrap/>
        <w:overflowPunct/>
        <w:topLinePunct w:val="0"/>
        <w:autoSpaceDE/>
        <w:autoSpaceDN/>
        <w:bidi w:val="0"/>
        <w:adjustRightInd/>
        <w:snapToGrid/>
        <w:spacing w:before="0" w:after="0" w:line="520" w:lineRule="exact"/>
        <w:ind w:left="0"/>
        <w:jc w:val="left"/>
        <w:textAlignment w:val="auto"/>
        <w:outlineLvl w:val="1"/>
        <w:rPr>
          <w:rFonts w:hint="eastAsia" w:ascii="宋体" w:hAnsi="宋体" w:eastAsia="宋体" w:cs="宋体"/>
          <w:color w:val="auto"/>
          <w:sz w:val="28"/>
          <w:szCs w:val="28"/>
        </w:rPr>
      </w:pPr>
      <w:bookmarkStart w:id="22" w:name="heading_23"/>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.3 专项服务要求</w:t>
      </w:r>
      <w:bookmarkEnd w:id="22"/>
    </w:p>
    <w:p w14:paraId="3C3D78BD">
      <w:pPr>
        <w:keepNext w:val="0"/>
        <w:keepLines w:val="0"/>
        <w:pageBreakBefore w:val="0"/>
        <w:widowControl w:val="0"/>
        <w:kinsoku/>
        <w:wordWrap/>
        <w:overflowPunct/>
        <w:topLinePunct w:val="0"/>
        <w:autoSpaceDE/>
        <w:autoSpaceDN/>
        <w:bidi w:val="0"/>
        <w:adjustRightInd/>
        <w:snapToGrid/>
        <w:spacing w:before="0" w:after="0" w:line="52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设立校园专属服务团队，配备固定对接人员，全程负责教材征订、核对、配送、售后对接工作。</w:t>
      </w:r>
    </w:p>
    <w:p w14:paraId="6DFBBD99">
      <w:pPr>
        <w:keepNext w:val="0"/>
        <w:keepLines w:val="0"/>
        <w:pageBreakBefore w:val="0"/>
        <w:widowControl w:val="0"/>
        <w:kinsoku/>
        <w:wordWrap/>
        <w:overflowPunct/>
        <w:topLinePunct w:val="0"/>
        <w:autoSpaceDE/>
        <w:autoSpaceDN/>
        <w:bidi w:val="0"/>
        <w:adjustRightInd/>
        <w:snapToGrid/>
        <w:spacing w:before="0" w:after="0" w:line="520" w:lineRule="exact"/>
        <w:ind w:left="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开通24小时服务热线及线上对接渠道，全天候响应学校咨询、报修、退换货需求。</w:t>
      </w:r>
    </w:p>
    <w:p w14:paraId="3CA8AA3A">
      <w:pPr>
        <w:keepNext w:val="0"/>
        <w:keepLines w:val="0"/>
        <w:pageBreakBefore w:val="0"/>
        <w:widowControl w:val="0"/>
        <w:kinsoku/>
        <w:wordWrap/>
        <w:overflowPunct/>
        <w:topLinePunct w:val="0"/>
        <w:autoSpaceDE/>
        <w:autoSpaceDN/>
        <w:bidi w:val="0"/>
        <w:adjustRightInd/>
        <w:snapToGrid/>
        <w:spacing w:before="0" w:after="0" w:line="520" w:lineRule="exact"/>
        <w:ind w:left="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 xml:space="preserve">3. </w:t>
      </w:r>
      <w:r>
        <w:rPr>
          <w:rFonts w:hint="eastAsia" w:ascii="宋体" w:hAnsi="宋体" w:eastAsia="宋体" w:cs="宋体"/>
          <w:color w:val="auto"/>
          <w:sz w:val="28"/>
          <w:szCs w:val="28"/>
          <w:lang w:val="en-US" w:eastAsia="zh-CN"/>
        </w:rPr>
        <w:t>我校不参与学生教材费用的结算过程，教材结算有中标方自行安排工作人员对学生购买的教材进行结算。</w:t>
      </w:r>
    </w:p>
    <w:p w14:paraId="086FFE03">
      <w:pPr>
        <w:keepNext w:val="0"/>
        <w:keepLines w:val="0"/>
        <w:pageBreakBefore w:val="0"/>
        <w:widowControl w:val="0"/>
        <w:kinsoku/>
        <w:wordWrap/>
        <w:overflowPunct/>
        <w:topLinePunct w:val="0"/>
        <w:autoSpaceDE/>
        <w:autoSpaceDN/>
        <w:bidi w:val="0"/>
        <w:adjustRightInd/>
        <w:snapToGrid/>
        <w:spacing w:before="0" w:after="0" w:line="520" w:lineRule="exact"/>
        <w:ind w:left="0"/>
        <w:jc w:val="left"/>
        <w:textAlignment w:val="auto"/>
        <w:rPr>
          <w:rFonts w:hint="eastAsia" w:ascii="宋体" w:hAnsi="宋体" w:eastAsia="宋体" w:cs="宋体"/>
          <w:color w:val="auto"/>
          <w:sz w:val="28"/>
          <w:szCs w:val="28"/>
          <w:lang w:val="en-US" w:eastAsia="zh-CN"/>
        </w:rPr>
      </w:pPr>
    </w:p>
    <w:p w14:paraId="36AC480F">
      <w:pPr>
        <w:keepNext w:val="0"/>
        <w:keepLines w:val="0"/>
        <w:pageBreakBefore w:val="0"/>
        <w:widowControl w:val="0"/>
        <w:kinsoku/>
        <w:wordWrap/>
        <w:overflowPunct/>
        <w:topLinePunct w:val="0"/>
        <w:autoSpaceDE/>
        <w:autoSpaceDN/>
        <w:bidi w:val="0"/>
        <w:adjustRightInd/>
        <w:snapToGrid/>
        <w:spacing w:before="0" w:after="0" w:line="520" w:lineRule="exact"/>
        <w:ind w:left="0"/>
        <w:jc w:val="left"/>
        <w:textAlignment w:val="auto"/>
        <w:rPr>
          <w:rFonts w:hint="eastAsia" w:ascii="宋体" w:hAnsi="宋体" w:eastAsia="宋体" w:cs="宋体"/>
          <w:color w:val="auto"/>
          <w:sz w:val="28"/>
          <w:szCs w:val="28"/>
          <w:lang w:val="en-US" w:eastAsia="zh-CN"/>
        </w:rPr>
      </w:pPr>
    </w:p>
    <w:p w14:paraId="2FC547E9">
      <w:pPr>
        <w:keepNext w:val="0"/>
        <w:keepLines w:val="0"/>
        <w:pageBreakBefore w:val="0"/>
        <w:widowControl w:val="0"/>
        <w:kinsoku/>
        <w:wordWrap/>
        <w:overflowPunct/>
        <w:topLinePunct w:val="0"/>
        <w:autoSpaceDE/>
        <w:autoSpaceDN/>
        <w:bidi w:val="0"/>
        <w:adjustRightInd/>
        <w:snapToGrid/>
        <w:spacing w:before="0" w:after="0" w:line="520" w:lineRule="exact"/>
        <w:ind w:left="0" w:firstLine="0" w:firstLineChars="0"/>
        <w:jc w:val="left"/>
        <w:textAlignment w:val="auto"/>
        <w:rPr>
          <w:rFonts w:hint="eastAsia" w:ascii="方正仿宋_GBK" w:hAnsi="方正仿宋_GBK" w:eastAsia="方正仿宋_GBK" w:cs="方正仿宋_GBK"/>
          <w:b/>
          <w:bCs/>
          <w:color w:val="auto"/>
          <w:sz w:val="22"/>
          <w:szCs w:val="22"/>
          <w:lang w:val="en-US" w:eastAsia="zh-CN"/>
        </w:rPr>
      </w:pPr>
      <w:r>
        <w:rPr>
          <w:rFonts w:hint="eastAsia" w:ascii="方正仿宋_GBK" w:hAnsi="方正仿宋_GBK" w:eastAsia="方正仿宋_GBK" w:cs="方正仿宋_GBK"/>
          <w:b/>
          <w:bCs/>
          <w:color w:val="auto"/>
          <w:sz w:val="22"/>
          <w:szCs w:val="22"/>
          <w:lang w:val="en-US" w:eastAsia="zh-CN"/>
        </w:rPr>
        <w:t>附件1.教材供应商遴选综合评分表</w:t>
      </w:r>
    </w:p>
    <w:p w14:paraId="39D38892">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rPr>
          <w:rFonts w:hint="eastAsia" w:ascii="宋体" w:hAnsi="宋体" w:eastAsia="宋体" w:cs="宋体"/>
          <w:b/>
          <w:color w:val="auto"/>
          <w:sz w:val="28"/>
          <w:szCs w:val="28"/>
          <w:lang w:val="en-US" w:eastAsia="zh-CN"/>
        </w:rPr>
      </w:pPr>
    </w:p>
    <w:p w14:paraId="39F6F6C0">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rPr>
          <w:rFonts w:hint="eastAsia" w:ascii="宋体" w:hAnsi="宋体" w:eastAsia="宋体" w:cs="宋体"/>
          <w:b/>
          <w:color w:val="auto"/>
          <w:sz w:val="28"/>
          <w:szCs w:val="28"/>
          <w:lang w:val="en-US" w:eastAsia="zh-CN"/>
        </w:rPr>
      </w:pPr>
    </w:p>
    <w:p w14:paraId="0263C06F">
      <w:pPr>
        <w:keepNext w:val="0"/>
        <w:keepLines w:val="0"/>
        <w:pageBreakBefore w:val="0"/>
        <w:widowControl w:val="0"/>
        <w:kinsoku/>
        <w:wordWrap/>
        <w:overflowPunct/>
        <w:topLinePunct w:val="0"/>
        <w:autoSpaceDE/>
        <w:autoSpaceDN/>
        <w:bidi w:val="0"/>
        <w:adjustRightInd/>
        <w:snapToGrid/>
        <w:spacing w:before="0" w:after="0" w:line="560" w:lineRule="exact"/>
        <w:ind w:left="0"/>
        <w:jc w:val="left"/>
        <w:textAlignment w:val="auto"/>
        <w:rPr>
          <w:rFonts w:hint="default" w:ascii="宋体" w:hAnsi="宋体" w:eastAsia="宋体" w:cs="宋体"/>
          <w:b/>
          <w:color w:val="auto"/>
          <w:sz w:val="28"/>
          <w:szCs w:val="28"/>
          <w:lang w:val="en-US" w:eastAsia="zh-CN"/>
        </w:rPr>
      </w:pPr>
    </w:p>
    <w:p w14:paraId="32215B7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3929" w:firstLineChars="1871"/>
        <w:jc w:val="left"/>
        <w:textAlignment w:val="auto"/>
        <w:rPr>
          <w:rFonts w:hint="default"/>
          <w:color w:val="auto"/>
          <w:lang w:val="en-US" w:eastAsia="zh-CN"/>
        </w:rPr>
        <w:sectPr>
          <w:footerReference r:id="rId5" w:type="default"/>
          <w:pgSz w:w="11905" w:h="16840"/>
          <w:pgBorders>
            <w:top w:val="none" w:sz="0" w:space="0"/>
            <w:left w:val="none" w:sz="0" w:space="0"/>
            <w:bottom w:val="none" w:sz="0" w:space="0"/>
            <w:right w:val="none" w:sz="0" w:space="0"/>
          </w:pgBorders>
          <w:pgNumType w:fmt="decimal" w:start="1"/>
          <w:cols w:space="720" w:num="1"/>
        </w:sectPr>
      </w:pPr>
    </w:p>
    <w:tbl>
      <w:tblPr>
        <w:tblStyle w:val="4"/>
        <w:tblW w:w="5279" w:type="pct"/>
        <w:tblInd w:w="-2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28"/>
        <w:gridCol w:w="723"/>
        <w:gridCol w:w="484"/>
        <w:gridCol w:w="2192"/>
        <w:gridCol w:w="1286"/>
        <w:gridCol w:w="3921"/>
        <w:gridCol w:w="3026"/>
        <w:gridCol w:w="1056"/>
        <w:gridCol w:w="1391"/>
      </w:tblGrid>
      <w:tr w14:paraId="2634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blHeader/>
        </w:trPr>
        <w:tc>
          <w:tcPr>
            <w:tcW w:w="5000" w:type="pct"/>
            <w:gridSpan w:val="9"/>
            <w:tcBorders>
              <w:top w:val="nil"/>
              <w:left w:val="nil"/>
              <w:bottom w:val="nil"/>
              <w:right w:val="nil"/>
            </w:tcBorders>
            <w:shd w:val="clear" w:color="auto" w:fill="FFFFFF" w:themeFill="background1"/>
            <w:vAlign w:val="center"/>
          </w:tcPr>
          <w:p w14:paraId="21933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微软雅黑" w:hAnsi="微软雅黑" w:eastAsia="微软雅黑" w:cs="微软雅黑"/>
                <w:b/>
                <w:bCs/>
                <w:i w:val="0"/>
                <w:iCs w:val="0"/>
                <w:color w:val="auto"/>
                <w:kern w:val="0"/>
                <w:sz w:val="28"/>
                <w:szCs w:val="28"/>
                <w:u w:val="none"/>
                <w:lang w:val="en-US" w:eastAsia="zh-CN" w:bidi="ar-SA"/>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教材供应商遴选综合评分表</w:t>
            </w:r>
          </w:p>
        </w:tc>
      </w:tr>
      <w:tr w14:paraId="506E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blHeader/>
        </w:trPr>
        <w:tc>
          <w:tcPr>
            <w:tcW w:w="608" w:type="pct"/>
            <w:gridSpan w:val="2"/>
            <w:tcBorders>
              <w:top w:val="nil"/>
              <w:left w:val="nil"/>
              <w:bottom w:val="nil"/>
              <w:right w:val="nil"/>
            </w:tcBorders>
            <w:shd w:val="clear" w:color="auto" w:fill="FFFFFF" w:themeFill="background1"/>
            <w:noWrap/>
            <w:vAlign w:val="center"/>
          </w:tcPr>
          <w:p w14:paraId="3DA26689">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r>
              <w:rPr>
                <w:rFonts w:hint="eastAsia" w:ascii="微软雅黑" w:hAnsi="微软雅黑" w:eastAsia="微软雅黑" w:cs="微软雅黑"/>
                <w:b/>
                <w:bCs/>
                <w:i w:val="0"/>
                <w:iCs w:val="0"/>
                <w:color w:val="auto"/>
                <w:kern w:val="0"/>
                <w:sz w:val="20"/>
                <w:szCs w:val="20"/>
                <w:u w:val="none"/>
                <w:lang w:val="en-US" w:eastAsia="zh-CN" w:bidi="ar"/>
              </w:rPr>
              <w:t>供应商名称：</w:t>
            </w:r>
          </w:p>
        </w:tc>
        <w:tc>
          <w:tcPr>
            <w:tcW w:w="1302" w:type="pct"/>
            <w:gridSpan w:val="3"/>
            <w:tcBorders>
              <w:top w:val="nil"/>
              <w:left w:val="nil"/>
              <w:bottom w:val="nil"/>
              <w:right w:val="nil"/>
            </w:tcBorders>
            <w:shd w:val="clear" w:color="auto" w:fill="FFFFFF" w:themeFill="background1"/>
            <w:noWrap/>
            <w:vAlign w:val="center"/>
          </w:tcPr>
          <w:p w14:paraId="606D09EB">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p>
        </w:tc>
        <w:tc>
          <w:tcPr>
            <w:tcW w:w="1289" w:type="pct"/>
            <w:tcBorders>
              <w:top w:val="nil"/>
              <w:left w:val="nil"/>
              <w:bottom w:val="nil"/>
              <w:right w:val="nil"/>
            </w:tcBorders>
            <w:shd w:val="clear" w:color="auto" w:fill="FFFFFF" w:themeFill="background1"/>
            <w:noWrap/>
            <w:vAlign w:val="center"/>
          </w:tcPr>
          <w:p w14:paraId="0FDC07E8">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r>
              <w:rPr>
                <w:rFonts w:hint="eastAsia" w:ascii="微软雅黑" w:hAnsi="微软雅黑" w:eastAsia="微软雅黑" w:cs="微软雅黑"/>
                <w:b/>
                <w:bCs/>
                <w:i w:val="0"/>
                <w:iCs w:val="0"/>
                <w:color w:val="auto"/>
                <w:kern w:val="0"/>
                <w:sz w:val="20"/>
                <w:szCs w:val="20"/>
                <w:u w:val="none"/>
                <w:lang w:val="en-US" w:eastAsia="zh-CN" w:bidi="ar"/>
              </w:rPr>
              <w:t>投标报价（码洋折扣率）：</w:t>
            </w:r>
          </w:p>
        </w:tc>
        <w:tc>
          <w:tcPr>
            <w:tcW w:w="1342" w:type="pct"/>
            <w:gridSpan w:val="2"/>
            <w:tcBorders>
              <w:top w:val="nil"/>
              <w:left w:val="nil"/>
              <w:bottom w:val="nil"/>
              <w:right w:val="nil"/>
            </w:tcBorders>
            <w:shd w:val="clear" w:color="auto" w:fill="FFFFFF" w:themeFill="background1"/>
            <w:noWrap/>
            <w:vAlign w:val="center"/>
          </w:tcPr>
          <w:p w14:paraId="29733826">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评标基准价：</w:t>
            </w:r>
          </w:p>
        </w:tc>
        <w:tc>
          <w:tcPr>
            <w:tcW w:w="457" w:type="pct"/>
            <w:tcBorders>
              <w:top w:val="nil"/>
              <w:left w:val="nil"/>
              <w:bottom w:val="nil"/>
              <w:right w:val="nil"/>
            </w:tcBorders>
            <w:shd w:val="clear" w:color="auto" w:fill="FFFFFF" w:themeFill="background1"/>
            <w:noWrap/>
            <w:vAlign w:val="center"/>
          </w:tcPr>
          <w:p w14:paraId="1137AC97">
            <w:pPr>
              <w:keepNext w:val="0"/>
              <w:keepLines w:val="0"/>
              <w:pageBreakBefore w:val="0"/>
              <w:widowControl/>
              <w:kinsoku/>
              <w:wordWrap/>
              <w:overflowPunct/>
              <w:topLinePunct w:val="0"/>
              <w:autoSpaceDE/>
              <w:autoSpaceDN/>
              <w:bidi w:val="0"/>
              <w:adjustRightInd/>
              <w:snapToGrid/>
              <w:spacing w:beforeLines="0" w:afterLines="0"/>
              <w:ind w:firstLine="0" w:firstLineChars="0"/>
              <w:rPr>
                <w:rFonts w:hint="eastAsia" w:ascii="等线" w:hAnsi="等线" w:eastAsia="等线" w:cs="等线"/>
                <w:i w:val="0"/>
                <w:iCs w:val="0"/>
                <w:color w:val="auto"/>
                <w:kern w:val="0"/>
                <w:sz w:val="20"/>
                <w:szCs w:val="20"/>
                <w:u w:val="none"/>
                <w:lang w:val="en-US" w:eastAsia="zh-CN" w:bidi="ar-SA"/>
              </w:rPr>
            </w:pPr>
          </w:p>
        </w:tc>
      </w:tr>
      <w:tr w14:paraId="7768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blHeader/>
        </w:trPr>
        <w:tc>
          <w:tcPr>
            <w:tcW w:w="608" w:type="pct"/>
            <w:gridSpan w:val="2"/>
            <w:tcBorders>
              <w:top w:val="nil"/>
              <w:left w:val="nil"/>
              <w:bottom w:val="single" w:color="auto" w:sz="4" w:space="0"/>
              <w:right w:val="nil"/>
            </w:tcBorders>
            <w:shd w:val="clear" w:color="auto" w:fill="FFFFFF" w:themeFill="background1"/>
            <w:noWrap/>
            <w:vAlign w:val="center"/>
          </w:tcPr>
          <w:p w14:paraId="63AB57C8">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r>
              <w:rPr>
                <w:rFonts w:hint="eastAsia" w:ascii="微软雅黑" w:hAnsi="微软雅黑" w:eastAsia="微软雅黑" w:cs="微软雅黑"/>
                <w:b/>
                <w:bCs/>
                <w:i w:val="0"/>
                <w:iCs w:val="0"/>
                <w:color w:val="auto"/>
                <w:kern w:val="0"/>
                <w:sz w:val="20"/>
                <w:szCs w:val="20"/>
                <w:u w:val="none"/>
                <w:lang w:val="en-US" w:eastAsia="zh-CN" w:bidi="ar"/>
              </w:rPr>
              <w:t>项目名称：</w:t>
            </w:r>
          </w:p>
        </w:tc>
        <w:tc>
          <w:tcPr>
            <w:tcW w:w="1302" w:type="pct"/>
            <w:gridSpan w:val="3"/>
            <w:tcBorders>
              <w:top w:val="nil"/>
              <w:left w:val="nil"/>
              <w:bottom w:val="single" w:color="auto" w:sz="4" w:space="0"/>
              <w:right w:val="nil"/>
            </w:tcBorders>
            <w:shd w:val="clear" w:color="auto" w:fill="FFFFFF" w:themeFill="background1"/>
            <w:noWrap/>
            <w:vAlign w:val="center"/>
          </w:tcPr>
          <w:p w14:paraId="57656E0E">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p>
        </w:tc>
        <w:tc>
          <w:tcPr>
            <w:tcW w:w="1289" w:type="pct"/>
            <w:tcBorders>
              <w:top w:val="nil"/>
              <w:left w:val="nil"/>
              <w:bottom w:val="single" w:color="auto" w:sz="4" w:space="0"/>
              <w:right w:val="nil"/>
            </w:tcBorders>
            <w:shd w:val="clear" w:color="auto" w:fill="FFFFFF" w:themeFill="background1"/>
            <w:noWrap/>
            <w:vAlign w:val="center"/>
          </w:tcPr>
          <w:p w14:paraId="0528BC1E">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r>
              <w:rPr>
                <w:rFonts w:hint="eastAsia" w:ascii="微软雅黑" w:hAnsi="微软雅黑" w:eastAsia="微软雅黑" w:cs="微软雅黑"/>
                <w:b/>
                <w:bCs/>
                <w:i w:val="0"/>
                <w:iCs w:val="0"/>
                <w:color w:val="auto"/>
                <w:kern w:val="0"/>
                <w:sz w:val="20"/>
                <w:szCs w:val="20"/>
                <w:u w:val="none"/>
                <w:lang w:val="en-US" w:eastAsia="zh-CN" w:bidi="ar"/>
              </w:rPr>
              <w:t>评审日期：</w:t>
            </w:r>
          </w:p>
        </w:tc>
        <w:tc>
          <w:tcPr>
            <w:tcW w:w="1342" w:type="pct"/>
            <w:gridSpan w:val="2"/>
            <w:tcBorders>
              <w:top w:val="nil"/>
              <w:left w:val="nil"/>
              <w:bottom w:val="single" w:color="auto" w:sz="4" w:space="0"/>
              <w:right w:val="nil"/>
            </w:tcBorders>
            <w:shd w:val="clear" w:color="auto" w:fill="FFFFFF" w:themeFill="background1"/>
            <w:noWrap/>
            <w:vAlign w:val="center"/>
          </w:tcPr>
          <w:p w14:paraId="75890D76">
            <w:pPr>
              <w:keepNext w:val="0"/>
              <w:keepLines w:val="0"/>
              <w:pageBreakBefore w:val="0"/>
              <w:widowControl/>
              <w:suppressLineNumbers w:val="0"/>
              <w:kinsoku/>
              <w:wordWrap/>
              <w:overflowPunct/>
              <w:topLinePunct w:val="0"/>
              <w:autoSpaceDE/>
              <w:autoSpaceDN/>
              <w:bidi w:val="0"/>
              <w:adjustRightInd/>
              <w:snapToGrid/>
              <w:spacing w:beforeLines="0" w:afterLines="0"/>
              <w:ind w:firstLine="0" w:firstLineChars="0"/>
              <w:jc w:val="left"/>
              <w:textAlignment w:val="center"/>
              <w:rPr>
                <w:rFonts w:hint="eastAsia" w:ascii="微软雅黑" w:hAnsi="微软雅黑" w:eastAsia="微软雅黑" w:cs="微软雅黑"/>
                <w:b/>
                <w:bCs/>
                <w:i w:val="0"/>
                <w:iCs w:val="0"/>
                <w:color w:val="auto"/>
                <w:kern w:val="0"/>
                <w:sz w:val="20"/>
                <w:szCs w:val="20"/>
                <w:u w:val="none"/>
                <w:lang w:val="en-US" w:eastAsia="zh-CN" w:bidi="ar"/>
              </w:rPr>
            </w:pPr>
            <w:r>
              <w:rPr>
                <w:rFonts w:hint="eastAsia" w:ascii="微软雅黑" w:hAnsi="微软雅黑" w:eastAsia="微软雅黑" w:cs="微软雅黑"/>
                <w:b/>
                <w:bCs/>
                <w:i w:val="0"/>
                <w:iCs w:val="0"/>
                <w:color w:val="auto"/>
                <w:kern w:val="0"/>
                <w:sz w:val="20"/>
                <w:szCs w:val="20"/>
                <w:u w:val="none"/>
                <w:lang w:val="en-US" w:eastAsia="zh-CN" w:bidi="ar"/>
              </w:rPr>
              <w:t>评标基准价：</w:t>
            </w:r>
          </w:p>
        </w:tc>
        <w:tc>
          <w:tcPr>
            <w:tcW w:w="457" w:type="pct"/>
            <w:tcBorders>
              <w:top w:val="nil"/>
              <w:left w:val="nil"/>
              <w:bottom w:val="single" w:color="auto" w:sz="4" w:space="0"/>
              <w:right w:val="nil"/>
            </w:tcBorders>
            <w:shd w:val="clear" w:color="auto" w:fill="FFFFFF" w:themeFill="background1"/>
            <w:noWrap/>
            <w:vAlign w:val="center"/>
          </w:tcPr>
          <w:p w14:paraId="606A2B30">
            <w:pPr>
              <w:keepNext w:val="0"/>
              <w:keepLines w:val="0"/>
              <w:pageBreakBefore w:val="0"/>
              <w:widowControl/>
              <w:kinsoku/>
              <w:wordWrap/>
              <w:overflowPunct/>
              <w:topLinePunct w:val="0"/>
              <w:autoSpaceDE/>
              <w:autoSpaceDN/>
              <w:bidi w:val="0"/>
              <w:adjustRightInd/>
              <w:snapToGrid/>
              <w:spacing w:beforeLines="0" w:afterLines="0"/>
              <w:ind w:firstLine="0" w:firstLineChars="0"/>
              <w:rPr>
                <w:rFonts w:hint="eastAsia" w:ascii="等线" w:hAnsi="等线" w:eastAsia="等线" w:cs="等线"/>
                <w:i w:val="0"/>
                <w:iCs w:val="0"/>
                <w:color w:val="auto"/>
                <w:kern w:val="0"/>
                <w:sz w:val="20"/>
                <w:szCs w:val="20"/>
                <w:u w:val="none"/>
                <w:lang w:val="en-US" w:eastAsia="zh-CN" w:bidi="ar-SA"/>
              </w:rPr>
            </w:pPr>
          </w:p>
        </w:tc>
      </w:tr>
      <w:tr w14:paraId="7AF6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799B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序号</w:t>
            </w:r>
          </w:p>
        </w:tc>
        <w:tc>
          <w:tcPr>
            <w:tcW w:w="396"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0446A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评分大类</w:t>
            </w: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19B3C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评分项</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AF047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标准分值</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0062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评分标准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3BFBC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供应商得分</w:t>
            </w: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18949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备注</w:t>
            </w:r>
          </w:p>
        </w:tc>
      </w:tr>
      <w:tr w14:paraId="5404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5C5B8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1117"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D9834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价格分</w:t>
            </w:r>
          </w:p>
          <w:p w14:paraId="58BC6F4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（40分）</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589EB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F10CB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满足遴选文件要求且报价最低的为评标基准价，价格分=（评标基准价÷投标报价）×40分，报价超出市场指导价或低于成本价得0分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CE9D8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8F4F7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0060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B59A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396" w:type="pct"/>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2B179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技术分</w:t>
            </w:r>
          </w:p>
          <w:p w14:paraId="4F040D4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（35分）</w:t>
            </w: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46BFE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一、供货实施方案</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E18E5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314CF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本项合计15分，含以下5个子项</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30378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6655B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6B85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4DA7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FB6A9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1C922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人员配置方案</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BB775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0B086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配置合理、职责明确、人员稳定，完全满足需求得3分；基本齐全得1-2分；不完善不得分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03571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EF112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4A08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F096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2.2</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461D8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B4E72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运输配送方案</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4655C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650DA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路线科学、分拣规范、精准配送、时效可控得4分；基本合理得2-3分；无保障得1分及以下</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F3A99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0F027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5366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E36EB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2.3</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BE76F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EA8E2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教材发放方案</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887C9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B7132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流程清晰、台账完整、可配合分班发放得4分；流程完整得2-3分；混乱不得分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DDEC4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E7084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6EE5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147A7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2.4</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1F80B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341D2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应急处置方案</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4A75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5493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应急预案完善、可落地得2分；内容简略得1分；无方案不得分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8F78D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CDA31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5838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C5C7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2.5</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94AF3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ED881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服务保障措施</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05DC9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94149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措施具体、贴合需求得2分；基本齐全得1分；无措施不得分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5D6C3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74C71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bookmarkStart w:id="23" w:name="_GoBack"/>
            <w:bookmarkEnd w:id="23"/>
          </w:p>
        </w:tc>
      </w:tr>
      <w:tr w14:paraId="7E38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802F8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10228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D784A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二、教材质量保证</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A3B6B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63CE0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本项合计10分，含以下3个子项</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8D080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5EAFC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217E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E39F1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B726E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55021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教材来源正规性</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0C581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5E4B5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具备出版社官方授权、正规渠道、货源可追溯得4分；授权不完整得2-3分；无授权不得分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3EBF9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588C7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5781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90B7C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D6970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D12EF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教材版本时效性</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498DD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91C32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承诺提供最新官方指定版本、可及时跟进改版得3分；更新滞后得1-2分；无法保障不得分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A6C8E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C63E7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4DBA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8D6F1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3.3</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558D2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72E06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教材质量承诺</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06EDE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2E38F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出具正式承诺书、管控完善、追责清晰得3分；承诺简略得1-2分；无承诺不得分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94AAF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06C66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00BB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EDF67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28AB6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239F7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三、信息化服务能力</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E9B1B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EDFAD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本项合计10分，含以下3个子项</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FFB5C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A999D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3399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47242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20F7C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D96BD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教材征订系统</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9C028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SA"/>
              </w:rPr>
              <w:t>4.5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572C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系统功能完善、操作便捷、适配校园管理得</w:t>
            </w:r>
            <w:r>
              <w:rPr>
                <w:rFonts w:hint="eastAsia" w:ascii="宋体" w:hAnsi="宋体" w:cs="宋体"/>
                <w:i w:val="0"/>
                <w:iCs w:val="0"/>
                <w:color w:val="auto"/>
                <w:kern w:val="0"/>
                <w:sz w:val="18"/>
                <w:szCs w:val="18"/>
                <w:u w:val="none"/>
                <w:lang w:val="en-US" w:eastAsia="zh-CN" w:bidi="ar"/>
              </w:rPr>
              <w:t>4.5</w:t>
            </w:r>
            <w:r>
              <w:rPr>
                <w:rFonts w:hint="eastAsia" w:ascii="宋体" w:hAnsi="宋体" w:eastAsia="宋体" w:cs="宋体"/>
                <w:i w:val="0"/>
                <w:iCs w:val="0"/>
                <w:color w:val="auto"/>
                <w:kern w:val="0"/>
                <w:sz w:val="18"/>
                <w:szCs w:val="18"/>
                <w:u w:val="none"/>
                <w:lang w:val="en-US" w:eastAsia="zh-CN" w:bidi="ar"/>
              </w:rPr>
              <w:t>分；基本齐全得</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分；功能缺失得1分及以下</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59534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0CD83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rPr>
                <w:rFonts w:hint="default" w:ascii="宋体" w:hAnsi="宋体" w:eastAsia="宋体" w:cs="宋体"/>
                <w:i w:val="0"/>
                <w:iCs w:val="0"/>
                <w:color w:val="auto"/>
                <w:kern w:val="0"/>
                <w:sz w:val="18"/>
                <w:szCs w:val="18"/>
                <w:u w:val="none"/>
                <w:lang w:val="en-US" w:eastAsia="zh-CN" w:bidi="ar-SA"/>
              </w:rPr>
            </w:pPr>
          </w:p>
        </w:tc>
      </w:tr>
      <w:tr w14:paraId="63AF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5A1C0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r>
              <w:rPr>
                <w:rFonts w:hint="eastAsia" w:ascii="宋体" w:hAnsi="宋体" w:cs="宋体"/>
                <w:i w:val="0"/>
                <w:iCs w:val="0"/>
                <w:color w:val="auto"/>
                <w:kern w:val="0"/>
                <w:sz w:val="18"/>
                <w:szCs w:val="18"/>
                <w:u w:val="none"/>
                <w:lang w:val="en-US" w:eastAsia="zh-CN" w:bidi="ar"/>
              </w:rPr>
              <w:t>2</w:t>
            </w:r>
          </w:p>
        </w:tc>
        <w:tc>
          <w:tcPr>
            <w:tcW w:w="396"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00E10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E07C9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SA"/>
              </w:rPr>
              <w:t>教材管理配套系统</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B16CC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1.5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83636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持有教材室管理系统、教材配套视频制作系统、教材课件配套制作系统等相关软件著作权登记证书，每个证书得0.5分，最高1.5分。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C477A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793D4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71F5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F372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4.3</w:t>
            </w:r>
          </w:p>
        </w:tc>
        <w:tc>
          <w:tcPr>
            <w:tcW w:w="396"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86586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EBFE6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540" w:firstLineChars="300"/>
              <w:jc w:val="both"/>
              <w:textAlignment w:val="center"/>
              <w:rPr>
                <w:rFonts w:hint="default" w:ascii="宋体" w:hAnsi="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SA"/>
              </w:rPr>
              <w:t>专业技术人员</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17207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20AA8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同时具备副高级及以上职称</w:t>
            </w:r>
            <w:r>
              <w:rPr>
                <w:rFonts w:hint="eastAsia" w:ascii="宋体" w:hAnsi="宋体" w:cs="宋体"/>
                <w:i w:val="0"/>
                <w:iCs w:val="0"/>
                <w:color w:val="auto"/>
                <w:kern w:val="0"/>
                <w:sz w:val="18"/>
                <w:szCs w:val="18"/>
                <w:u w:val="none"/>
                <w:lang w:val="en-US" w:eastAsia="zh-CN" w:bidi="ar"/>
              </w:rPr>
              <w:t>和</w:t>
            </w:r>
            <w:r>
              <w:rPr>
                <w:rFonts w:hint="eastAsia" w:ascii="宋体" w:hAnsi="宋体" w:eastAsia="宋体" w:cs="宋体"/>
                <w:i w:val="0"/>
                <w:iCs w:val="0"/>
                <w:color w:val="auto"/>
                <w:kern w:val="0"/>
                <w:sz w:val="18"/>
                <w:szCs w:val="18"/>
                <w:u w:val="none"/>
                <w:lang w:val="en-US" w:eastAsia="zh-CN" w:bidi="ar"/>
              </w:rPr>
              <w:t>出版物发行员高级职业资格（国家三级</w:t>
            </w:r>
            <w:r>
              <w:rPr>
                <w:rFonts w:hint="eastAsia" w:ascii="宋体" w:hAnsi="宋体" w:cs="宋体"/>
                <w:i w:val="0"/>
                <w:iCs w:val="0"/>
                <w:color w:val="auto"/>
                <w:kern w:val="0"/>
                <w:sz w:val="18"/>
                <w:szCs w:val="18"/>
                <w:u w:val="none"/>
                <w:lang w:val="en-US" w:eastAsia="zh-CN" w:bidi="ar"/>
              </w:rPr>
              <w:t>以上</w:t>
            </w:r>
            <w:r>
              <w:rPr>
                <w:rFonts w:hint="eastAsia" w:ascii="宋体" w:hAnsi="宋体" w:eastAsia="宋体" w:cs="宋体"/>
                <w:i w:val="0"/>
                <w:iCs w:val="0"/>
                <w:color w:val="auto"/>
                <w:kern w:val="0"/>
                <w:sz w:val="18"/>
                <w:szCs w:val="18"/>
                <w:u w:val="none"/>
                <w:lang w:val="en-US" w:eastAsia="zh-CN" w:bidi="ar"/>
              </w:rPr>
              <w:t>），每人计2分；具备出版物发行员中级职业资格（国家四级），每人计 1分； 按实际符合条件人员累计计分，</w:t>
            </w:r>
            <w:r>
              <w:rPr>
                <w:rFonts w:hint="eastAsia" w:ascii="宋体" w:hAnsi="宋体" w:cs="宋体"/>
                <w:i w:val="0"/>
                <w:iCs w:val="0"/>
                <w:color w:val="auto"/>
                <w:kern w:val="0"/>
                <w:sz w:val="18"/>
                <w:szCs w:val="18"/>
                <w:u w:val="none"/>
                <w:lang w:val="en-US" w:eastAsia="zh-CN" w:bidi="ar"/>
              </w:rPr>
              <w:t>最高</w:t>
            </w:r>
            <w:r>
              <w:rPr>
                <w:rFonts w:hint="eastAsia" w:ascii="宋体" w:hAnsi="宋体" w:eastAsia="宋体" w:cs="宋体"/>
                <w:i w:val="0"/>
                <w:iCs w:val="0"/>
                <w:color w:val="auto"/>
                <w:kern w:val="0"/>
                <w:sz w:val="18"/>
                <w:szCs w:val="18"/>
                <w:u w:val="none"/>
                <w:lang w:val="en-US" w:eastAsia="zh-CN" w:bidi="ar"/>
              </w:rPr>
              <w:t>4分。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4330F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1904C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44C0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89A22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396" w:type="pct"/>
            <w:gridSpan w:val="2"/>
            <w:vMerge w:val="restart"/>
            <w:tcBorders>
              <w:top w:val="single" w:color="auto" w:sz="4" w:space="0"/>
              <w:left w:val="single" w:color="auto" w:sz="4" w:space="0"/>
              <w:right w:val="single" w:color="auto" w:sz="4" w:space="0"/>
            </w:tcBorders>
            <w:shd w:val="clear" w:color="auto" w:fill="FFFFFF" w:themeFill="background1"/>
            <w:vAlign w:val="center"/>
          </w:tcPr>
          <w:p w14:paraId="43903BF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商务分</w:t>
            </w:r>
          </w:p>
          <w:p w14:paraId="7084640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（25分）</w:t>
            </w: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B3639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一、企业综合实力</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49CF6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2</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7F4C9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本项合计1</w:t>
            </w:r>
            <w:r>
              <w:rPr>
                <w:rFonts w:hint="eastAsia" w:ascii="宋体" w:hAnsi="宋体" w:cs="宋体"/>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分，含以下4个子项</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51877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C0D0F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1068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8090E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5.1</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478ADC1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48341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注册资本</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8E040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0A9B8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≥500万元得2分；300-500万元得1分；300万元以下不得分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5ECE4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43379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709D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75CDE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5.2</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4FA3229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A2A3F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经营年限</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BE38E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C996A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5年及以上得2分；3-5年得1分；3年以下不得分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DD012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D7692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6305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EDC16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5.3</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5384879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2F8AF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仓储能力</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81CCB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D98DC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自有/租赁仓储≥2000㎡得3分；1000-2000㎡得2分；500-1000㎡得1分；500㎡以下不得分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BCF29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66DA0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6CD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E2AC7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63A4A65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0904E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资质证书</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DE25B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093DF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eastAsia="宋体" w:cs="宋体"/>
                <w:color w:val="auto"/>
                <w:sz w:val="18"/>
                <w:szCs w:val="18"/>
              </w:rPr>
              <w:t>具备有效的出版物经营许可证、营业执照等必备资质</w:t>
            </w:r>
            <w:r>
              <w:rPr>
                <w:rFonts w:hint="eastAsia" w:ascii="宋体" w:hAnsi="宋体" w:eastAsia="宋体" w:cs="宋体"/>
                <w:color w:val="auto"/>
                <w:sz w:val="18"/>
                <w:szCs w:val="18"/>
                <w:lang w:val="en-US" w:eastAsia="zh-CN"/>
              </w:rPr>
              <w:t>的得</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分</w:t>
            </w:r>
            <w:r>
              <w:rPr>
                <w:rFonts w:hint="eastAsia" w:ascii="宋体" w:hAnsi="宋体" w:cs="宋体"/>
                <w:color w:val="auto"/>
                <w:sz w:val="18"/>
                <w:szCs w:val="18"/>
                <w:lang w:val="en-US" w:eastAsia="zh-CN"/>
              </w:rPr>
              <w:t>（每个得0.5分，出版物经营</w:t>
            </w:r>
            <w:r>
              <w:rPr>
                <w:rFonts w:hint="eastAsia" w:ascii="宋体" w:hAnsi="宋体" w:eastAsia="宋体" w:cs="宋体"/>
                <w:color w:val="auto"/>
                <w:sz w:val="18"/>
                <w:szCs w:val="18"/>
              </w:rPr>
              <w:t>许可证</w:t>
            </w:r>
            <w:r>
              <w:rPr>
                <w:rFonts w:hint="eastAsia" w:ascii="宋体" w:hAnsi="宋体" w:cs="宋体"/>
                <w:color w:val="auto"/>
                <w:sz w:val="18"/>
                <w:szCs w:val="18"/>
                <w:lang w:val="en-US" w:eastAsia="zh-CN"/>
              </w:rPr>
              <w:t>需年检合格，否则不计分）</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拥有</w:t>
            </w:r>
            <w:r>
              <w:rPr>
                <w:rFonts w:hint="eastAsia" w:ascii="宋体" w:hAnsi="宋体" w:eastAsia="宋体" w:cs="宋体"/>
                <w:color w:val="auto"/>
                <w:sz w:val="18"/>
                <w:szCs w:val="18"/>
                <w:lang w:val="en-US" w:eastAsia="zh-CN"/>
              </w:rPr>
              <w:t>国家标准认证的</w:t>
            </w:r>
            <w:r>
              <w:rPr>
                <w:rFonts w:hint="eastAsia" w:ascii="宋体" w:hAnsi="宋体" w:eastAsia="宋体" w:cs="宋体"/>
                <w:color w:val="auto"/>
                <w:sz w:val="18"/>
                <w:szCs w:val="18"/>
                <w:lang w:val="en-US" w:eastAsia="en-US"/>
              </w:rPr>
              <w:t>售后服务认证、质量管理体系</w:t>
            </w:r>
            <w:r>
              <w:rPr>
                <w:rFonts w:hint="eastAsia" w:ascii="宋体" w:hAnsi="宋体" w:eastAsia="宋体" w:cs="宋体"/>
                <w:color w:val="auto"/>
                <w:sz w:val="18"/>
                <w:szCs w:val="18"/>
                <w:lang w:val="en-US" w:eastAsia="zh-CN"/>
              </w:rPr>
              <w:t>认证</w:t>
            </w:r>
            <w:r>
              <w:rPr>
                <w:rFonts w:hint="eastAsia" w:ascii="宋体" w:hAnsi="宋体" w:eastAsia="宋体" w:cs="宋体"/>
                <w:color w:val="auto"/>
                <w:sz w:val="18"/>
                <w:szCs w:val="18"/>
                <w:lang w:val="en-US" w:eastAsia="en-US"/>
              </w:rPr>
              <w:t>、环境管理体系</w:t>
            </w:r>
            <w:r>
              <w:rPr>
                <w:rFonts w:hint="eastAsia" w:ascii="宋体" w:hAnsi="宋体" w:eastAsia="宋体" w:cs="宋体"/>
                <w:color w:val="auto"/>
                <w:sz w:val="18"/>
                <w:szCs w:val="18"/>
                <w:lang w:val="en-US" w:eastAsia="zh-CN"/>
              </w:rPr>
              <w:t>认证</w:t>
            </w:r>
            <w:r>
              <w:rPr>
                <w:rFonts w:hint="eastAsia" w:ascii="宋体" w:hAnsi="宋体" w:eastAsia="宋体" w:cs="宋体"/>
                <w:color w:val="auto"/>
                <w:sz w:val="18"/>
                <w:szCs w:val="18"/>
                <w:lang w:val="en-US" w:eastAsia="en-US"/>
              </w:rPr>
              <w:t>、职业健康安全管理体系</w:t>
            </w:r>
            <w:r>
              <w:rPr>
                <w:rFonts w:hint="eastAsia" w:ascii="宋体" w:hAnsi="宋体" w:eastAsia="宋体" w:cs="宋体"/>
                <w:color w:val="auto"/>
                <w:sz w:val="18"/>
                <w:szCs w:val="18"/>
                <w:lang w:val="en-US" w:eastAsia="zh-CN"/>
              </w:rPr>
              <w:t>认证</w:t>
            </w:r>
            <w:r>
              <w:rPr>
                <w:rFonts w:hint="eastAsia" w:ascii="宋体" w:hAnsi="宋体" w:eastAsia="宋体" w:cs="宋体"/>
                <w:color w:val="auto"/>
                <w:sz w:val="18"/>
                <w:szCs w:val="18"/>
              </w:rPr>
              <w:t>等相关</w:t>
            </w:r>
            <w:r>
              <w:rPr>
                <w:rFonts w:hint="eastAsia" w:ascii="宋体" w:hAnsi="宋体" w:eastAsia="宋体" w:cs="宋体"/>
                <w:color w:val="auto"/>
                <w:sz w:val="18"/>
                <w:szCs w:val="18"/>
                <w:lang w:val="en-US" w:eastAsia="zh-CN"/>
              </w:rPr>
              <w:t>体系认证</w:t>
            </w:r>
            <w:r>
              <w:rPr>
                <w:rFonts w:hint="eastAsia" w:ascii="宋体" w:hAnsi="宋体" w:eastAsia="宋体" w:cs="宋体"/>
                <w:color w:val="auto"/>
                <w:sz w:val="18"/>
                <w:szCs w:val="18"/>
              </w:rPr>
              <w:t>的</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每提供一个证书</w:t>
            </w:r>
            <w:r>
              <w:rPr>
                <w:rFonts w:hint="eastAsia" w:ascii="宋体" w:hAnsi="宋体" w:eastAsia="宋体" w:cs="宋体"/>
                <w:color w:val="auto"/>
                <w:sz w:val="18"/>
                <w:szCs w:val="18"/>
              </w:rPr>
              <w:t>得</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最高4分。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F2F34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9C321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rPr>
                <w:rFonts w:hint="default" w:ascii="宋体" w:hAnsi="宋体" w:eastAsia="宋体" w:cs="宋体"/>
                <w:i w:val="0"/>
                <w:iCs w:val="0"/>
                <w:color w:val="auto"/>
                <w:kern w:val="0"/>
                <w:sz w:val="18"/>
                <w:szCs w:val="18"/>
                <w:u w:val="none"/>
                <w:lang w:val="en-US" w:eastAsia="zh-CN" w:bidi="ar-SA"/>
              </w:rPr>
            </w:pPr>
          </w:p>
        </w:tc>
      </w:tr>
      <w:tr w14:paraId="5C42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FA74B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6DCE109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843A9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二、项目供货经验</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A0A67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9DD28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本项合计8分，含以下</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个子项</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0ACB8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8FC80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42D5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C5C09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6.1</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33880D7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42C5E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高校供货经验</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639E3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70D37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近3年有5所及以上高校案例得4分；4所得3分；3所得2分；2所得1分；1所及以下不得分。其中5所及以上的均为高职院校的再得1分，本项最高5分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FA89D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vMerge w:val="restart"/>
            <w:tcBorders>
              <w:top w:val="single" w:color="auto" w:sz="4" w:space="0"/>
              <w:left w:val="single" w:color="auto" w:sz="4" w:space="0"/>
              <w:right w:val="single" w:color="auto" w:sz="4" w:space="0"/>
            </w:tcBorders>
            <w:shd w:val="clear" w:color="auto" w:fill="FFFFFF" w:themeFill="background1"/>
            <w:vAlign w:val="center"/>
          </w:tcPr>
          <w:p w14:paraId="6801155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34E7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1F68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6.2</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0F9D9A3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0EF62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近三年类似业绩</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5EEE3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913C0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业绩充足得2分；业绩较少得1分；无有效业绩不得分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134DC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vMerge w:val="continue"/>
            <w:tcBorders>
              <w:left w:val="single" w:color="auto" w:sz="4" w:space="0"/>
              <w:right w:val="single" w:color="auto" w:sz="4" w:space="0"/>
            </w:tcBorders>
            <w:shd w:val="clear" w:color="auto" w:fill="FFFFFF" w:themeFill="background1"/>
            <w:vAlign w:val="center"/>
          </w:tcPr>
          <w:p w14:paraId="13FD3BE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608C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486E7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32BA0CC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A3BB2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近三年</w:t>
            </w:r>
            <w:r>
              <w:rPr>
                <w:rFonts w:hint="eastAsia" w:ascii="宋体" w:hAnsi="宋体" w:cs="宋体"/>
                <w:i w:val="0"/>
                <w:iCs w:val="0"/>
                <w:color w:val="auto"/>
                <w:kern w:val="0"/>
                <w:sz w:val="18"/>
                <w:szCs w:val="18"/>
                <w:u w:val="none"/>
                <w:lang w:val="en-US" w:eastAsia="zh-CN" w:bidi="ar"/>
              </w:rPr>
              <w:t>履约服务优秀</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9D07B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SA"/>
              </w:rPr>
              <w:t>1</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06DF0B">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color w:val="auto"/>
                <w:sz w:val="18"/>
                <w:szCs w:val="18"/>
              </w:rPr>
              <w:t>高校教材供应服务履约反馈被评定为优秀的，每家得 0.5 分，最多得 1 分；无优秀评价的不得分。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94818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vMerge w:val="continue"/>
            <w:tcBorders>
              <w:left w:val="single" w:color="auto" w:sz="4" w:space="0"/>
              <w:bottom w:val="single" w:color="auto" w:sz="4" w:space="0"/>
              <w:right w:val="single" w:color="auto" w:sz="4" w:space="0"/>
            </w:tcBorders>
            <w:shd w:val="clear" w:color="auto" w:fill="FFFFFF" w:themeFill="background1"/>
            <w:vAlign w:val="center"/>
          </w:tcPr>
          <w:p w14:paraId="6D725B2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20CB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A0BEB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1516038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82FAD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三、综合服务能力</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2C6E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87B07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本项合计</w:t>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分，含以下</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个子项</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19201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7BA9A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36D9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2A46F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7.1</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2B5E284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9BF1E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售后服务承诺</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79119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1.5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4EEF3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体系完善、内容具体、可落地得</w:t>
            </w:r>
            <w:r>
              <w:rPr>
                <w:rFonts w:hint="eastAsia" w:ascii="宋体" w:hAnsi="宋体" w:cs="宋体"/>
                <w:i w:val="0"/>
                <w:iCs w:val="0"/>
                <w:color w:val="auto"/>
                <w:kern w:val="0"/>
                <w:sz w:val="18"/>
                <w:szCs w:val="18"/>
                <w:u w:val="none"/>
                <w:lang w:val="en-US" w:eastAsia="zh-CN" w:bidi="ar"/>
              </w:rPr>
              <w:t>1.5</w:t>
            </w:r>
            <w:r>
              <w:rPr>
                <w:rFonts w:hint="eastAsia" w:ascii="宋体" w:hAnsi="宋体" w:eastAsia="宋体" w:cs="宋体"/>
                <w:i w:val="0"/>
                <w:iCs w:val="0"/>
                <w:color w:val="auto"/>
                <w:kern w:val="0"/>
                <w:sz w:val="18"/>
                <w:szCs w:val="18"/>
                <w:u w:val="none"/>
                <w:lang w:val="en-US" w:eastAsia="zh-CN" w:bidi="ar"/>
              </w:rPr>
              <w:t>分；基本完整得1分；空洞不得分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97A6E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vMerge w:val="restart"/>
            <w:tcBorders>
              <w:top w:val="single" w:color="auto" w:sz="4" w:space="0"/>
              <w:left w:val="single" w:color="auto" w:sz="4" w:space="0"/>
              <w:right w:val="single" w:color="auto" w:sz="4" w:space="0"/>
            </w:tcBorders>
            <w:shd w:val="clear" w:color="auto" w:fill="FFFFFF" w:themeFill="background1"/>
            <w:vAlign w:val="center"/>
          </w:tcPr>
          <w:p w14:paraId="503D995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5473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CFBFA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7.2</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111A4E4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77C7C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退换货政策</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88B4D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1.5</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657BF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政策合理、流程便捷、免费退换得</w:t>
            </w:r>
            <w:r>
              <w:rPr>
                <w:rFonts w:hint="eastAsia" w:ascii="宋体" w:hAnsi="宋体" w:cs="宋体"/>
                <w:i w:val="0"/>
                <w:iCs w:val="0"/>
                <w:color w:val="auto"/>
                <w:kern w:val="0"/>
                <w:sz w:val="18"/>
                <w:szCs w:val="18"/>
                <w:u w:val="none"/>
                <w:lang w:val="en-US" w:eastAsia="zh-CN" w:bidi="ar"/>
              </w:rPr>
              <w:t>1.5</w:t>
            </w:r>
            <w:r>
              <w:rPr>
                <w:rFonts w:hint="eastAsia" w:ascii="宋体" w:hAnsi="宋体" w:eastAsia="宋体" w:cs="宋体"/>
                <w:i w:val="0"/>
                <w:iCs w:val="0"/>
                <w:color w:val="auto"/>
                <w:kern w:val="0"/>
                <w:sz w:val="18"/>
                <w:szCs w:val="18"/>
                <w:u w:val="none"/>
                <w:lang w:val="en-US" w:eastAsia="zh-CN" w:bidi="ar"/>
              </w:rPr>
              <w:t>分；有局限得1分；无政策不得分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5006A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vMerge w:val="continue"/>
            <w:tcBorders>
              <w:left w:val="single" w:color="auto" w:sz="4" w:space="0"/>
              <w:right w:val="single" w:color="auto" w:sz="4" w:space="0"/>
            </w:tcBorders>
            <w:shd w:val="clear" w:color="auto" w:fill="FFFFFF" w:themeFill="background1"/>
            <w:vAlign w:val="center"/>
          </w:tcPr>
          <w:p w14:paraId="5F837F6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3FDA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94DEB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7.3</w:t>
            </w:r>
          </w:p>
        </w:tc>
        <w:tc>
          <w:tcPr>
            <w:tcW w:w="396" w:type="pct"/>
            <w:gridSpan w:val="2"/>
            <w:vMerge w:val="continue"/>
            <w:tcBorders>
              <w:left w:val="single" w:color="auto" w:sz="4" w:space="0"/>
              <w:right w:val="single" w:color="auto" w:sz="4" w:space="0"/>
            </w:tcBorders>
            <w:shd w:val="clear" w:color="auto" w:fill="FFFFFF" w:themeFill="background1"/>
            <w:vAlign w:val="center"/>
          </w:tcPr>
          <w:p w14:paraId="79DA02C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97E04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问题响应时效</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10A93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1</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597E7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left"/>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24小时热线畅通、响应迅速、处置高效得</w:t>
            </w:r>
            <w:r>
              <w:rPr>
                <w:rFonts w:hint="eastAsia" w:ascii="宋体" w:hAnsi="宋体" w:cs="宋体"/>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分；时效一般得</w:t>
            </w:r>
            <w:r>
              <w:rPr>
                <w:rFonts w:hint="eastAsia" w:ascii="宋体" w:hAnsi="宋体" w:cs="宋体"/>
                <w:i w:val="0"/>
                <w:iCs w:val="0"/>
                <w:color w:val="auto"/>
                <w:kern w:val="0"/>
                <w:sz w:val="18"/>
                <w:szCs w:val="18"/>
                <w:u w:val="none"/>
                <w:lang w:val="en-US" w:eastAsia="zh-CN" w:bidi="ar"/>
              </w:rPr>
              <w:t>0.5</w:t>
            </w:r>
            <w:r>
              <w:rPr>
                <w:rFonts w:hint="eastAsia" w:ascii="宋体" w:hAnsi="宋体" w:eastAsia="宋体" w:cs="宋体"/>
                <w:i w:val="0"/>
                <w:iCs w:val="0"/>
                <w:color w:val="auto"/>
                <w:kern w:val="0"/>
                <w:sz w:val="18"/>
                <w:szCs w:val="18"/>
                <w:u w:val="none"/>
                <w:lang w:val="en-US" w:eastAsia="zh-CN" w:bidi="ar"/>
              </w:rPr>
              <w:t>分；无机制不得分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F5AD6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vMerge w:val="continue"/>
            <w:tcBorders>
              <w:left w:val="single" w:color="auto" w:sz="4" w:space="0"/>
              <w:bottom w:val="single" w:color="auto" w:sz="4" w:space="0"/>
              <w:right w:val="single" w:color="auto" w:sz="4" w:space="0"/>
            </w:tcBorders>
            <w:shd w:val="clear" w:color="auto" w:fill="FFFFFF" w:themeFill="background1"/>
            <w:vAlign w:val="center"/>
          </w:tcPr>
          <w:p w14:paraId="75A9F9B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7BA0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11289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7.4</w:t>
            </w:r>
          </w:p>
        </w:tc>
        <w:tc>
          <w:tcPr>
            <w:tcW w:w="396" w:type="pct"/>
            <w:gridSpan w:val="2"/>
            <w:vMerge w:val="continue"/>
            <w:tcBorders>
              <w:left w:val="single" w:color="auto" w:sz="4" w:space="0"/>
              <w:bottom w:val="single" w:color="auto" w:sz="4" w:space="0"/>
              <w:right w:val="single" w:color="auto" w:sz="4" w:space="0"/>
            </w:tcBorders>
            <w:shd w:val="clear" w:color="auto" w:fill="FFFFFF" w:themeFill="background1"/>
            <w:vAlign w:val="center"/>
          </w:tcPr>
          <w:p w14:paraId="7D8DE58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DFF53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配套支撑服务</w:t>
            </w:r>
          </w:p>
        </w:tc>
        <w:tc>
          <w:tcPr>
            <w:tcW w:w="42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09C8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c>
          <w:tcPr>
            <w:tcW w:w="2284"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7BBA17">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能够支持或指导学校开展国家规划教材建设、教学成果奖申报等相关工作：供应商团队负责人成功组织申报国家规划教材的得0.5分；供应商团队负责人获得国家教学成果奖的得0.5分。</w:t>
            </w:r>
          </w:p>
        </w:tc>
        <w:tc>
          <w:tcPr>
            <w:tcW w:w="34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307EF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45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25094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宋体" w:hAnsi="宋体" w:eastAsia="宋体" w:cs="宋体"/>
                <w:i w:val="0"/>
                <w:iCs w:val="0"/>
                <w:color w:val="auto"/>
                <w:kern w:val="0"/>
                <w:sz w:val="18"/>
                <w:szCs w:val="18"/>
                <w:u w:val="none"/>
                <w:lang w:val="en-US" w:eastAsia="zh-CN" w:bidi="ar-SA"/>
              </w:rPr>
            </w:pPr>
          </w:p>
        </w:tc>
      </w:tr>
      <w:tr w14:paraId="76D5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blHeader/>
        </w:trPr>
        <w:tc>
          <w:tcPr>
            <w:tcW w:w="1488" w:type="pct"/>
            <w:gridSpan w:val="4"/>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CF4843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合计总分（满分100分）</w:t>
            </w:r>
          </w:p>
        </w:tc>
        <w:tc>
          <w:tcPr>
            <w:tcW w:w="422" w:type="pct"/>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2FB1369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100</w:t>
            </w:r>
          </w:p>
        </w:tc>
        <w:tc>
          <w:tcPr>
            <w:tcW w:w="2284" w:type="pct"/>
            <w:gridSpan w:val="2"/>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8FB7D9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c>
          <w:tcPr>
            <w:tcW w:w="347" w:type="pct"/>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0C645F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宋体" w:hAnsi="宋体" w:eastAsia="宋体" w:cs="宋体"/>
                <w:b/>
                <w:bCs/>
                <w:i w:val="0"/>
                <w:iCs w:val="0"/>
                <w:color w:val="auto"/>
                <w:kern w:val="0"/>
                <w:sz w:val="18"/>
                <w:szCs w:val="18"/>
                <w:u w:val="none"/>
                <w:lang w:val="en-US" w:eastAsia="zh-CN" w:bidi="ar-SA"/>
              </w:rPr>
            </w:pPr>
          </w:p>
        </w:tc>
        <w:tc>
          <w:tcPr>
            <w:tcW w:w="457" w:type="pc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077B21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eastAsia" w:ascii="宋体" w:hAnsi="宋体" w:eastAsia="宋体" w:cs="宋体"/>
                <w:i w:val="0"/>
                <w:iCs w:val="0"/>
                <w:color w:val="auto"/>
                <w:kern w:val="0"/>
                <w:sz w:val="18"/>
                <w:szCs w:val="18"/>
                <w:u w:val="none"/>
                <w:lang w:val="en-US" w:eastAsia="zh-CN" w:bidi="ar-SA"/>
              </w:rPr>
            </w:pPr>
          </w:p>
        </w:tc>
      </w:tr>
      <w:tr w14:paraId="26CC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blHeader/>
        </w:trPr>
        <w:tc>
          <w:tcPr>
            <w:tcW w:w="370" w:type="pct"/>
            <w:tcBorders>
              <w:top w:val="nil"/>
              <w:left w:val="nil"/>
              <w:bottom w:val="nil"/>
              <w:right w:val="nil"/>
            </w:tcBorders>
            <w:shd w:val="clear" w:color="auto" w:fill="FFFFFF" w:themeFill="background1"/>
            <w:noWrap/>
            <w:vAlign w:val="center"/>
          </w:tcPr>
          <w:p w14:paraId="034D25FE">
            <w:pPr>
              <w:rPr>
                <w:rFonts w:hint="eastAsia" w:ascii="等线" w:hAnsi="等线" w:eastAsia="等线" w:cs="等线"/>
                <w:i w:val="0"/>
                <w:iCs w:val="0"/>
                <w:color w:val="auto"/>
                <w:kern w:val="0"/>
                <w:sz w:val="20"/>
                <w:szCs w:val="20"/>
                <w:u w:val="none"/>
                <w:lang w:val="en-US" w:eastAsia="zh-CN" w:bidi="ar-SA"/>
              </w:rPr>
            </w:pPr>
          </w:p>
        </w:tc>
        <w:tc>
          <w:tcPr>
            <w:tcW w:w="396" w:type="pct"/>
            <w:gridSpan w:val="2"/>
            <w:tcBorders>
              <w:top w:val="nil"/>
              <w:left w:val="nil"/>
              <w:bottom w:val="nil"/>
              <w:right w:val="nil"/>
            </w:tcBorders>
            <w:shd w:val="clear" w:color="auto" w:fill="FFFFFF" w:themeFill="background1"/>
            <w:noWrap/>
            <w:vAlign w:val="center"/>
          </w:tcPr>
          <w:p w14:paraId="6E1D6991">
            <w:pPr>
              <w:rPr>
                <w:rFonts w:hint="eastAsia" w:ascii="等线" w:hAnsi="等线" w:eastAsia="等线" w:cs="等线"/>
                <w:i w:val="0"/>
                <w:iCs w:val="0"/>
                <w:color w:val="auto"/>
                <w:kern w:val="0"/>
                <w:sz w:val="20"/>
                <w:szCs w:val="20"/>
                <w:u w:val="none"/>
                <w:lang w:val="en-US" w:eastAsia="zh-CN" w:bidi="ar-SA"/>
              </w:rPr>
            </w:pPr>
          </w:p>
        </w:tc>
        <w:tc>
          <w:tcPr>
            <w:tcW w:w="720" w:type="pct"/>
            <w:tcBorders>
              <w:top w:val="nil"/>
              <w:left w:val="nil"/>
              <w:bottom w:val="nil"/>
              <w:right w:val="nil"/>
            </w:tcBorders>
            <w:shd w:val="clear" w:color="auto" w:fill="FFFFFF" w:themeFill="background1"/>
            <w:noWrap/>
            <w:vAlign w:val="center"/>
          </w:tcPr>
          <w:p w14:paraId="1B608711">
            <w:pPr>
              <w:rPr>
                <w:rFonts w:hint="eastAsia" w:ascii="等线" w:hAnsi="等线" w:eastAsia="等线" w:cs="等线"/>
                <w:i w:val="0"/>
                <w:iCs w:val="0"/>
                <w:color w:val="auto"/>
                <w:kern w:val="0"/>
                <w:sz w:val="20"/>
                <w:szCs w:val="20"/>
                <w:u w:val="none"/>
                <w:lang w:val="en-US" w:eastAsia="zh-CN" w:bidi="ar-SA"/>
              </w:rPr>
            </w:pPr>
          </w:p>
        </w:tc>
        <w:tc>
          <w:tcPr>
            <w:tcW w:w="422" w:type="pct"/>
            <w:tcBorders>
              <w:top w:val="nil"/>
              <w:left w:val="nil"/>
              <w:bottom w:val="nil"/>
              <w:right w:val="nil"/>
            </w:tcBorders>
            <w:shd w:val="clear" w:color="auto" w:fill="FFFFFF" w:themeFill="background1"/>
            <w:noWrap/>
            <w:vAlign w:val="center"/>
          </w:tcPr>
          <w:p w14:paraId="7AA5E047">
            <w:pPr>
              <w:rPr>
                <w:rFonts w:hint="eastAsia" w:ascii="等线" w:hAnsi="等线" w:eastAsia="等线" w:cs="等线"/>
                <w:i w:val="0"/>
                <w:iCs w:val="0"/>
                <w:color w:val="auto"/>
                <w:kern w:val="0"/>
                <w:sz w:val="20"/>
                <w:szCs w:val="20"/>
                <w:u w:val="none"/>
                <w:lang w:val="en-US" w:eastAsia="zh-CN" w:bidi="ar-SA"/>
              </w:rPr>
            </w:pPr>
          </w:p>
        </w:tc>
        <w:tc>
          <w:tcPr>
            <w:tcW w:w="2284" w:type="pct"/>
            <w:gridSpan w:val="2"/>
            <w:tcBorders>
              <w:top w:val="nil"/>
              <w:left w:val="nil"/>
              <w:bottom w:val="nil"/>
              <w:right w:val="nil"/>
            </w:tcBorders>
            <w:shd w:val="clear" w:color="auto" w:fill="FFFFFF" w:themeFill="background1"/>
            <w:noWrap/>
            <w:vAlign w:val="center"/>
          </w:tcPr>
          <w:p w14:paraId="5A3C9BC6">
            <w:pPr>
              <w:rPr>
                <w:rFonts w:hint="eastAsia" w:ascii="等线" w:hAnsi="等线" w:eastAsia="等线" w:cs="等线"/>
                <w:i w:val="0"/>
                <w:iCs w:val="0"/>
                <w:color w:val="auto"/>
                <w:kern w:val="0"/>
                <w:sz w:val="20"/>
                <w:szCs w:val="20"/>
                <w:u w:val="none"/>
                <w:lang w:val="en-US" w:eastAsia="zh-CN" w:bidi="ar-SA"/>
              </w:rPr>
            </w:pPr>
          </w:p>
        </w:tc>
        <w:tc>
          <w:tcPr>
            <w:tcW w:w="347" w:type="pct"/>
            <w:tcBorders>
              <w:top w:val="nil"/>
              <w:left w:val="nil"/>
              <w:bottom w:val="nil"/>
              <w:right w:val="nil"/>
            </w:tcBorders>
            <w:shd w:val="clear" w:color="auto" w:fill="FFFFFF" w:themeFill="background1"/>
            <w:noWrap/>
            <w:vAlign w:val="center"/>
          </w:tcPr>
          <w:p w14:paraId="5A011BB7">
            <w:pPr>
              <w:rPr>
                <w:rFonts w:hint="eastAsia" w:ascii="等线" w:hAnsi="等线" w:eastAsia="等线" w:cs="等线"/>
                <w:i w:val="0"/>
                <w:iCs w:val="0"/>
                <w:color w:val="auto"/>
                <w:kern w:val="0"/>
                <w:sz w:val="20"/>
                <w:szCs w:val="20"/>
                <w:u w:val="none"/>
                <w:lang w:val="en-US" w:eastAsia="zh-CN" w:bidi="ar-SA"/>
              </w:rPr>
            </w:pPr>
          </w:p>
        </w:tc>
        <w:tc>
          <w:tcPr>
            <w:tcW w:w="457" w:type="pct"/>
            <w:tcBorders>
              <w:top w:val="nil"/>
              <w:left w:val="nil"/>
              <w:bottom w:val="nil"/>
              <w:right w:val="nil"/>
            </w:tcBorders>
            <w:shd w:val="clear" w:color="auto" w:fill="FFFFFF" w:themeFill="background1"/>
            <w:noWrap/>
            <w:vAlign w:val="center"/>
          </w:tcPr>
          <w:p w14:paraId="092AF618">
            <w:pPr>
              <w:rPr>
                <w:rFonts w:hint="eastAsia" w:ascii="等线" w:hAnsi="等线" w:eastAsia="等线" w:cs="等线"/>
                <w:i w:val="0"/>
                <w:iCs w:val="0"/>
                <w:color w:val="auto"/>
                <w:kern w:val="0"/>
                <w:sz w:val="20"/>
                <w:szCs w:val="20"/>
                <w:u w:val="none"/>
                <w:lang w:val="en-US" w:eastAsia="zh-CN" w:bidi="ar-SA"/>
              </w:rPr>
            </w:pPr>
          </w:p>
        </w:tc>
      </w:tr>
      <w:tr w14:paraId="69FE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1488" w:type="pct"/>
            <w:gridSpan w:val="4"/>
            <w:tcBorders>
              <w:top w:val="nil"/>
              <w:left w:val="nil"/>
              <w:bottom w:val="nil"/>
              <w:right w:val="nil"/>
            </w:tcBorders>
            <w:shd w:val="clear" w:color="auto" w:fill="FFFFFF" w:themeFill="background1"/>
            <w:noWrap/>
            <w:vAlign w:val="center"/>
          </w:tcPr>
          <w:p w14:paraId="24C7078F">
            <w:pPr>
              <w:keepNext w:val="0"/>
              <w:keepLines w:val="0"/>
              <w:pageBreakBefore w:val="0"/>
              <w:kinsoku/>
              <w:wordWrap/>
              <w:overflowPunct/>
              <w:topLinePunct w:val="0"/>
              <w:autoSpaceDE/>
              <w:autoSpaceDN/>
              <w:bidi w:val="0"/>
              <w:adjustRightInd/>
              <w:snapToGrid/>
              <w:ind w:firstLine="0" w:firstLineChars="0"/>
              <w:jc w:val="left"/>
              <w:rPr>
                <w:rFonts w:hint="eastAsia" w:ascii="微软雅黑" w:hAnsi="微软雅黑" w:eastAsia="微软雅黑" w:cs="微软雅黑"/>
                <w:i w:val="0"/>
                <w:iCs w:val="0"/>
                <w:color w:val="auto"/>
                <w:kern w:val="0"/>
                <w:sz w:val="20"/>
                <w:szCs w:val="20"/>
                <w:u w:val="none"/>
                <w:lang w:val="en-US" w:eastAsia="zh-CN" w:bidi="ar-SA"/>
              </w:rPr>
            </w:pPr>
            <w:r>
              <w:rPr>
                <w:rFonts w:hint="eastAsia" w:ascii="微软雅黑" w:hAnsi="微软雅黑" w:eastAsia="微软雅黑" w:cs="微软雅黑"/>
                <w:b/>
                <w:bCs/>
                <w:i w:val="0"/>
                <w:iCs w:val="0"/>
                <w:color w:val="auto"/>
                <w:kern w:val="0"/>
                <w:sz w:val="20"/>
                <w:szCs w:val="20"/>
                <w:u w:val="none"/>
                <w:lang w:val="en-US" w:eastAsia="zh-CN" w:bidi="ar"/>
              </w:rPr>
              <w:t>评审工作人员签字：</w:t>
            </w:r>
          </w:p>
        </w:tc>
        <w:tc>
          <w:tcPr>
            <w:tcW w:w="422" w:type="pct"/>
            <w:tcBorders>
              <w:top w:val="nil"/>
              <w:left w:val="nil"/>
              <w:bottom w:val="nil"/>
              <w:right w:val="nil"/>
            </w:tcBorders>
            <w:shd w:val="clear" w:color="auto" w:fill="FFFFFF" w:themeFill="background1"/>
            <w:noWrap/>
            <w:vAlign w:val="center"/>
          </w:tcPr>
          <w:p w14:paraId="4A34FA7D">
            <w:pPr>
              <w:keepNext w:val="0"/>
              <w:keepLines w:val="0"/>
              <w:widowControl/>
              <w:suppressLineNumbers w:val="0"/>
              <w:jc w:val="left"/>
              <w:textAlignment w:val="center"/>
              <w:rPr>
                <w:rFonts w:hint="eastAsia" w:ascii="微软雅黑" w:hAnsi="微软雅黑" w:eastAsia="微软雅黑" w:cs="微软雅黑"/>
                <w:b/>
                <w:bCs/>
                <w:i w:val="0"/>
                <w:iCs w:val="0"/>
                <w:color w:val="auto"/>
                <w:kern w:val="0"/>
                <w:sz w:val="20"/>
                <w:szCs w:val="20"/>
                <w:u w:val="none"/>
                <w:lang w:val="en-US" w:eastAsia="zh-CN" w:bidi="ar-SA"/>
              </w:rPr>
            </w:pPr>
          </w:p>
        </w:tc>
        <w:tc>
          <w:tcPr>
            <w:tcW w:w="2284" w:type="pct"/>
            <w:gridSpan w:val="2"/>
            <w:tcBorders>
              <w:top w:val="nil"/>
              <w:left w:val="nil"/>
              <w:bottom w:val="nil"/>
              <w:right w:val="nil"/>
            </w:tcBorders>
            <w:shd w:val="clear" w:color="auto" w:fill="FFFFFF" w:themeFill="background1"/>
            <w:noWrap/>
            <w:vAlign w:val="center"/>
          </w:tcPr>
          <w:p w14:paraId="08B123D9">
            <w:pPr>
              <w:jc w:val="left"/>
              <w:rPr>
                <w:rFonts w:hint="eastAsia" w:ascii="微软雅黑" w:hAnsi="微软雅黑" w:eastAsia="微软雅黑" w:cs="微软雅黑"/>
                <w:i w:val="0"/>
                <w:iCs w:val="0"/>
                <w:color w:val="auto"/>
                <w:kern w:val="0"/>
                <w:sz w:val="20"/>
                <w:szCs w:val="20"/>
                <w:u w:val="none"/>
                <w:lang w:val="en-US" w:eastAsia="zh-CN" w:bidi="ar-SA"/>
              </w:rPr>
            </w:pPr>
            <w:r>
              <w:rPr>
                <w:rFonts w:hint="eastAsia" w:ascii="微软雅黑" w:hAnsi="微软雅黑" w:eastAsia="微软雅黑" w:cs="微软雅黑"/>
                <w:b/>
                <w:bCs/>
                <w:i w:val="0"/>
                <w:iCs w:val="0"/>
                <w:color w:val="auto"/>
                <w:kern w:val="0"/>
                <w:sz w:val="20"/>
                <w:szCs w:val="20"/>
                <w:u w:val="none"/>
                <w:lang w:val="en-US" w:eastAsia="zh-CN" w:bidi="ar"/>
              </w:rPr>
              <w:t>日期：</w:t>
            </w:r>
          </w:p>
        </w:tc>
        <w:tc>
          <w:tcPr>
            <w:tcW w:w="347" w:type="pct"/>
            <w:tcBorders>
              <w:top w:val="nil"/>
              <w:left w:val="nil"/>
              <w:bottom w:val="nil"/>
              <w:right w:val="nil"/>
            </w:tcBorders>
            <w:shd w:val="clear" w:color="auto" w:fill="FFFFFF" w:themeFill="background1"/>
            <w:noWrap/>
            <w:vAlign w:val="center"/>
          </w:tcPr>
          <w:p w14:paraId="7FC30E4F">
            <w:pPr>
              <w:rPr>
                <w:rFonts w:hint="eastAsia" w:ascii="等线" w:hAnsi="等线" w:eastAsia="等线" w:cs="等线"/>
                <w:i w:val="0"/>
                <w:iCs w:val="0"/>
                <w:color w:val="auto"/>
                <w:kern w:val="0"/>
                <w:sz w:val="20"/>
                <w:szCs w:val="20"/>
                <w:u w:val="none"/>
                <w:lang w:val="en-US" w:eastAsia="zh-CN" w:bidi="ar-SA"/>
              </w:rPr>
            </w:pPr>
          </w:p>
        </w:tc>
        <w:tc>
          <w:tcPr>
            <w:tcW w:w="457" w:type="pct"/>
            <w:tcBorders>
              <w:top w:val="nil"/>
              <w:left w:val="nil"/>
              <w:bottom w:val="nil"/>
              <w:right w:val="nil"/>
            </w:tcBorders>
            <w:shd w:val="clear" w:color="auto" w:fill="FFFFFF" w:themeFill="background1"/>
            <w:noWrap/>
            <w:vAlign w:val="center"/>
          </w:tcPr>
          <w:p w14:paraId="2D373482">
            <w:pPr>
              <w:rPr>
                <w:rFonts w:hint="eastAsia" w:ascii="等线" w:hAnsi="等线" w:eastAsia="等线" w:cs="等线"/>
                <w:i w:val="0"/>
                <w:iCs w:val="0"/>
                <w:color w:val="auto"/>
                <w:kern w:val="0"/>
                <w:sz w:val="20"/>
                <w:szCs w:val="20"/>
                <w:u w:val="none"/>
                <w:lang w:val="en-US" w:eastAsia="zh-CN" w:bidi="ar-SA"/>
              </w:rPr>
            </w:pPr>
          </w:p>
        </w:tc>
      </w:tr>
    </w:tbl>
    <w:p w14:paraId="22A4DCBC">
      <w:pPr>
        <w:keepNext w:val="0"/>
        <w:keepLines w:val="0"/>
        <w:pageBreakBefore w:val="0"/>
        <w:widowControl w:val="0"/>
        <w:kinsoku/>
        <w:wordWrap/>
        <w:overflowPunct/>
        <w:topLinePunct w:val="0"/>
        <w:autoSpaceDE/>
        <w:autoSpaceDN/>
        <w:bidi w:val="0"/>
        <w:adjustRightInd/>
        <w:snapToGrid/>
        <w:spacing w:before="120" w:after="120" w:line="20" w:lineRule="exact"/>
        <w:ind w:left="0" w:leftChars="0" w:firstLine="0" w:firstLineChars="0"/>
        <w:jc w:val="left"/>
        <w:textAlignment w:val="auto"/>
        <w:rPr>
          <w:color w:val="auto"/>
        </w:rPr>
      </w:pPr>
    </w:p>
    <w:sectPr>
      <w:pgSz w:w="16840" w:h="11905" w:orient="landscape"/>
      <w:pgMar w:top="1009" w:right="1327" w:bottom="1009" w:left="1327"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7002CE65-C40F-484D-BA79-C4A70EC39E3F}"/>
  </w:font>
  <w:font w:name="方正仿宋_GBK">
    <w:panose1 w:val="03000509000000000000"/>
    <w:charset w:val="86"/>
    <w:family w:val="auto"/>
    <w:pitch w:val="default"/>
    <w:sig w:usb0="00000001" w:usb1="080E0000" w:usb2="00000000" w:usb3="00000000" w:csb0="00040000" w:csb1="00000000"/>
    <w:embedRegular r:id="rId2" w:fontKey="{73273E60-7C3C-4CC0-8B37-9EA260C3B7B4}"/>
  </w:font>
  <w:font w:name="微软雅黑">
    <w:panose1 w:val="020B0503020204020204"/>
    <w:charset w:val="86"/>
    <w:family w:val="auto"/>
    <w:pitch w:val="default"/>
    <w:sig w:usb0="80000287" w:usb1="2ACF3C50" w:usb2="00000016" w:usb3="00000000" w:csb0="0004001F" w:csb1="00000000"/>
    <w:embedRegular r:id="rId3" w:fontKey="{C7B0B0D9-DD8E-4729-B48B-5CCD19F9A57E}"/>
  </w:font>
  <w:font w:name="等线">
    <w:panose1 w:val="02010600030101010101"/>
    <w:charset w:val="86"/>
    <w:family w:val="auto"/>
    <w:pitch w:val="default"/>
    <w:sig w:usb0="A00002BF" w:usb1="38CF7CFA" w:usb2="00000016" w:usb3="00000000" w:csb0="0004000F" w:csb1="00000000"/>
    <w:embedRegular r:id="rId4" w:fontKey="{5C546315-FD2E-4E51-AB64-46540439E0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A595">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13BC8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513BC8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30B09"/>
    <w:rsid w:val="0CC06645"/>
    <w:rsid w:val="0F3E6CBF"/>
    <w:rsid w:val="109A525E"/>
    <w:rsid w:val="12B677C2"/>
    <w:rsid w:val="1D1F2F14"/>
    <w:rsid w:val="27765A11"/>
    <w:rsid w:val="27AC2CD5"/>
    <w:rsid w:val="2FEE658C"/>
    <w:rsid w:val="30C10112"/>
    <w:rsid w:val="32896F34"/>
    <w:rsid w:val="38760A60"/>
    <w:rsid w:val="3C0E31FC"/>
    <w:rsid w:val="3DFE00AC"/>
    <w:rsid w:val="3E3A5467"/>
    <w:rsid w:val="3F451B5A"/>
    <w:rsid w:val="3F6A377B"/>
    <w:rsid w:val="411F4664"/>
    <w:rsid w:val="472471F5"/>
    <w:rsid w:val="4B1765DE"/>
    <w:rsid w:val="4B6B6E7F"/>
    <w:rsid w:val="508942AC"/>
    <w:rsid w:val="51586419"/>
    <w:rsid w:val="51D04C74"/>
    <w:rsid w:val="52E04FF4"/>
    <w:rsid w:val="552A2B8A"/>
    <w:rsid w:val="5D5C5527"/>
    <w:rsid w:val="5EB86749"/>
    <w:rsid w:val="5F392547"/>
    <w:rsid w:val="65EC3EF8"/>
    <w:rsid w:val="66E32558"/>
    <w:rsid w:val="679542C8"/>
    <w:rsid w:val="694850E1"/>
    <w:rsid w:val="6C1F462C"/>
    <w:rsid w:val="754D19D9"/>
    <w:rsid w:val="75557F2A"/>
    <w:rsid w:val="79F12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60" w:lineRule="auto"/>
      <w:ind w:firstLine="880" w:firstLineChars="200"/>
      <w:jc w:val="left"/>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5936</Words>
  <Characters>6203</Characters>
  <TotalTime>3</TotalTime>
  <ScaleCrop>false</ScaleCrop>
  <LinksUpToDate>false</LinksUpToDate>
  <CharactersWithSpaces>6245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2026-06-30T07:42:00Z</dcterms:created>
  <dc:creator>Apache POI</dc:creator>
  <cp:lastModifiedBy>林邑儒风</cp:lastModifiedBy>
  <dcterms:modified xsi:type="dcterms:W3CDTF">2026-07-01T09:25:13Z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{"Label":"1","ContentProducer":"001191110102MACQD9K64010000","ProduceID":"7657090575002586312","ReservedCode1":"","ContentPropagator":"","PropagateID":"","ReservedCode2":""}</vt:lpwstr>
  </property>
  <property fmtid="{D5CDD505-2E9C-101B-9397-08002B2CF9AE}" pid="3" name="KSOTemplateDocerSaveRecord">
    <vt:lpwstr>eyJoZGlkIjoiY2RmNjdiZDlmZjY0Yzc2NWViZDM0ZDI0MjhiMzk4ZTQiLCJ1c2VySWQiOiI0MDgyNzY5NDgifQ==</vt:lpwstr>
  </property>
  <property fmtid="{D5CDD505-2E9C-101B-9397-08002B2CF9AE}" pid="4" name="KSOProductBuildVer">
    <vt:lpwstr>2052-12.1.0.26895</vt:lpwstr>
  </property>
  <property fmtid="{D5CDD505-2E9C-101B-9397-08002B2CF9AE}" pid="5" name="ICV">
    <vt:lpwstr>840F4D9ED181467280A7F5753210F474_13</vt:lpwstr>
  </property>
</Properties>
</file>